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11:43:57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69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(counting measure for a discrete variable, 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3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3"/>
    <w:bookmarkStart w:id="54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4"/>
    <w:bookmarkStart w:id="55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5"/>
    <w:p>
      <w:pPr>
        <w:pStyle w:val="FirstParagraph"/>
      </w:pP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correlation always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6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bookmarkStart w:id="57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7"/>
    <w:p>
      <w:pPr>
        <w:pStyle w:val="FirstParagraph"/>
      </w:pP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also have positive variances,</w:t>
      </w:r>
      <w:r>
        <w:t xml:space="preserve"> </w:t>
      </w:r>
      <w:r>
        <w:t xml:space="preserve">being uncorrelated is the same as having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0.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58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58"/>
    <w:bookmarkStart w:id="5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0"/>
    <w:bookmarkStart w:id="61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3"/>
    <w:bookmarkStart w:id="64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6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7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cor-var-lincom2"/>
    <w:p>
      <w:pPr>
        <w:pStyle w:val="FirstParagraph"/>
      </w:pPr>
      <w:r>
        <w:rPr>
          <w:b/>
          <w:bCs/>
        </w:rPr>
        <w:t xml:space="preserve">Corollary 1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p>
      <w:pPr>
        <w:pStyle w:val="FirstParagraph"/>
      </w:pPr>
      <w:r>
        <w:t xml:space="preserve">This corollary is why two variables’ covariance matters for combining them: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the variance of their sum is just the sum of their variances.</w:t>
      </w:r>
    </w:p>
    <w:bookmarkEnd w:id="69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7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5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5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2026-09-28T18:48:11Z</dcterms:created>
  <dcterms:modified xsi:type="dcterms:W3CDTF">2026-09-28T18:48:11Z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11:43:57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