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2026-09-28 11:38:21 (PDT)</w:t>
      </w:r>
    </w:p>
    <w:bookmarkStart w:id="21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End w:id="21"/>
    <w:bookmarkStart w:id="45" w:name="variance-and-related-characteristics"/>
    <w:p>
      <w:pPr>
        <w:pStyle w:val="Heading2"/>
      </w:pPr>
      <w:r>
        <w:t xml:space="preserve">2 Variance and related characteristics</w:t>
      </w:r>
    </w:p>
    <w:bookmarkStart w:id="22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4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27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26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7"/>
    <w:bookmarkStart w:id="29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28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29"/>
    <w:bookmarkStart w:id="31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0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1"/>
    <w:bookmarkStart w:id="32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4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5"/>
    <w:bookmarkStart w:id="36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39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1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1"/>
    <w:bookmarkStart w:id="42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2"/>
    <w:bookmarkStart w:id="43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3"/>
    <w:p>
      <w:pPr>
        <w:pStyle w:val="FirstParagraph"/>
      </w:pP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4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4"/>
    <w:bookmarkEnd w:id="45"/>
    <w:bookmarkStart w:id="69" w:name="covariance"/>
    <w:p>
      <w:pPr>
        <w:pStyle w:val="Heading2"/>
      </w:pPr>
      <w:r>
        <w:t xml:space="preserve">3 Covariance</w:t>
      </w:r>
    </w:p>
    <w:bookmarkStart w:id="4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46"/>
    <w:bookmarkStart w:id="47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48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8"/>
    <w:bookmarkStart w:id="50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(counting measure for a discrete variable, 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4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3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3"/>
    <w:bookmarkStart w:id="54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4"/>
    <w:bookmarkStart w:id="55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55"/>
    <w:p>
      <w:pPr>
        <w:pStyle w:val="FirstParagraph"/>
      </w:pP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correlation always 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56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bookmarkStart w:id="57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7"/>
    <w:p>
      <w:pPr>
        <w:pStyle w:val="FirstParagraph"/>
      </w:pP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also have positive variances,</w:t>
      </w:r>
      <w:r>
        <w:t xml:space="preserve"> </w:t>
      </w:r>
      <w:r>
        <w:t xml:space="preserve">being uncorrelated is the same as having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0.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</w:p>
    <w:bookmarkStart w:id="58" w:name="exm-uncorrelated"/>
    <w:p>
      <w:pPr>
        <w:pStyle w:val="BodyText"/>
      </w:pPr>
      <w:r>
        <w:rPr>
          <w:b/>
          <w:bCs/>
        </w:rPr>
        <w:t xml:space="preserve">Example 13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58"/>
    <w:bookmarkStart w:id="5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cond-cov"/>
    <w:p>
      <w:pPr>
        <w:pStyle w:val="BodyText"/>
      </w:pPr>
      <w:r>
        <w:rPr>
          <w:b/>
          <w:bCs/>
        </w:rPr>
        <w:t xml:space="preserve">Example 14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60"/>
    <w:bookmarkStart w:id="61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0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3"/>
    <w:bookmarkStart w:id="64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6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66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7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cor-var-lincom2"/>
    <w:p>
      <w:pPr>
        <w:pStyle w:val="FirstParagraph"/>
      </w:pPr>
      <w:r>
        <w:rPr>
          <w:b/>
          <w:bCs/>
        </w:rPr>
        <w:t xml:space="preserve">Corollary 1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p>
      <w:pPr>
        <w:pStyle w:val="FirstParagraph"/>
      </w:pPr>
      <w:r>
        <w:t xml:space="preserve">This corollary is why two variables’ covariance matters for combining them: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the variance of their sum is just the sum of their variances.</w:t>
      </w:r>
    </w:p>
    <w:bookmarkEnd w:id="69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7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5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5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2026-09-28T18:43:10Z</dcterms:created>
  <dcterms:modified xsi:type="dcterms:W3CDTF">2026-09-28T18:43:10Z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11:38:21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