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02:00:47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be the prediction error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squared-error risk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 decomposes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decomposition, proved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Consequently: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holds because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gives the decomposition in the statement: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cross-product has expectation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Therefore, dropping the non-negative second term of the decomposition: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exm-best-predictor-decomposition"/>
    <w:p>
      <w:pPr>
        <w:pStyle w:val="BodyText"/>
      </w:pPr>
      <w:r>
        <w:rPr>
          <w:b/>
          <w:bCs/>
        </w:rPr>
        <w:t xml:space="preserve">Example 21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total risk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which the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 conditional mean 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03"/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r>
        <w:rPr>
          <w:b/>
          <w:bCs/>
        </w:rPr>
        <w:t xml:space="preserve">Example 22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r>
        <w:rPr>
          <w:b/>
          <w:bCs/>
        </w:rPr>
        <w:t xml:space="preserve">Example 23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r>
        <w:rPr>
          <w:b/>
          <w:bCs/>
        </w:rPr>
        <w:t xml:space="preserve">Example 24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r>
        <w:rPr>
          <w:b/>
          <w:bCs/>
        </w:rPr>
        <w:t xml:space="preserve">Example 25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2026-10-16T09:05:57Z</dcterms:created>
  <dcterms:modified xsi:type="dcterms:W3CDTF">2026-10-16T09:05:57Z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