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03:12:27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7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Random variables with zero covariance, and hence zero correlation,</w:t>
      </w:r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;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cond-cov"/>
    <w:p>
      <w:pPr>
        <w:pStyle w:val="FirstParagraph"/>
      </w:pPr>
      <w:r>
        <w:rPr>
          <w:b/>
          <w:bCs/>
        </w:rPr>
        <w:t xml:space="preserve">Definition 11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cond-cov"/>
    <w:p>
      <w:pPr>
        <w:pStyle w:val="BodyText"/>
      </w:pPr>
      <w:r>
        <w:rPr>
          <w:b/>
          <w:bCs/>
        </w:rPr>
        <w:t xml:space="preserve">Example 13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58"/>
    <w:bookmarkStart w:id="59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0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1" w:name="def-cov-vec-x"/>
    <w:p>
      <w:pPr>
        <w:pStyle w:val="FirstParagraph"/>
      </w:pPr>
      <w:r>
        <w:rPr>
          <w:b/>
          <w:bCs/>
        </w:rPr>
        <w:t xml:space="preserve">Definition 12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1"/>
    <w:bookmarkStart w:id="62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3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4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7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2026-09-28T10:16:37Z</dcterms:created>
  <dcterms:modified xsi:type="dcterms:W3CDTF">2026-09-28T10:16:37Z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