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r>
        <w:t xml:space="preserve">Last modified: 2026-10-14 13:59:07 (PDT)</w:t>
      </w:r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bookmarkStart w:id="13" w:name="thm-indpt-pmf"/>
    <w:p>
      <w:pPr>
        <w:pStyle w:val="BodyText"/>
      </w:pPr>
      <w:r>
        <w:rPr>
          <w:b/>
          <w:bCs/>
        </w:rPr>
        <w:t xml:space="preserve">Theorem 1 (Independence of discrete random variables: the joint PMF factors)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their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factors</w:t>
      </w:r>
      <w:r>
        <w:t xml:space="preserve"> </w:t>
      </w:r>
      <w:r>
        <w:t xml:space="preserve">into the product of their PMFs:</w:t>
      </w:r>
      <w:r>
        <w:t xml:space="preserve"> </w:t>
      </w:r>
      <w:r>
        <w:t xml:space="preserve">for all real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indpt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sets of real numbers,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 set of tuples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hyperlink r:id="rId14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countable,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countable.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takes its values in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joint PMF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over the product set </m:t>
              </m:r>
              <m:r>
                <m:t>C</m:t>
              </m:r>
              <m:r>
                <m:rPr>
                  <m:nor/>
                  <m:sty m:val="p"/>
                </m:rPr>
                <m:t> of non-negative products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" w:name="exm-indpt"/>
    <w:p>
      <w:pPr>
        <w:pStyle w:val="FirstParagraph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9" w:name="thm-indpt-density"/>
    <w:p>
      <w:pPr>
        <w:pStyle w:val="FirstParagraph"/>
      </w:pPr>
      <w:r>
        <w:rPr>
          <w:b/>
          <w:bCs/>
        </w:rPr>
        <w:t xml:space="preserve">Theorem 2 (Independence with densities: the joint density factors)</w:t>
      </w:r>
      <w:r>
        <w:t xml:space="preserve"> </w:t>
      </w:r>
      <w:r>
        <w:rPr>
          <w:b/>
          <w:bCs/>
        </w:rPr>
        <w:t xml:space="preserve">Continuous case.</w:t>
      </w:r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densities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Mixed case.</w:t>
      </w:r>
      <w:r>
        <w:t xml:space="preserve"> </w:t>
      </w: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continuous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statistically independent</w:t>
      </w:r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is beyond these notes’ scope:</w:t>
      </w:r>
      <w:r>
        <w:t xml:space="preserve"> </w:t>
      </w:r>
      <w:r>
        <w:t xml:space="preserve">it needs measure theory that the notes do not develop,</w:t>
      </w:r>
      <w:r>
        <w:t xml:space="preserve"> </w:t>
      </w:r>
      <w:r>
        <w:t xml:space="preserve">to extend a density’s integrals from intervals to general sets</w:t>
      </w:r>
      <w:r>
        <w:t xml:space="preserve"> </w:t>
      </w:r>
      <w:r>
        <w:t xml:space="preserve">and to exchange the order of integration</w:t>
      </w:r>
      <w:r>
        <w:t xml:space="preserve"> </w:t>
      </w:r>
      <w:r>
        <w:t xml:space="preserve">(Casella and Berger 2002; Billingsley 1995)</w:t>
      </w:r>
      <w:r>
        <w:t xml:space="preserve">.</w:t>
      </w:r>
      <w:r>
        <w:t xml:space="preserve"> </w:t>
      </w:r>
      <w:r>
        <w:t xml:space="preserve">The continuous case extends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variables</w:t>
      </w:r>
      <w:r>
        <w:t xml:space="preserve"> </w:t>
      </w:r>
      <w:r>
        <w:t xml:space="preserve">with a joint density of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statement says</w:t>
      </w:r>
      <w:r>
        <w:t xml:space="preserve"> </w:t>
      </w:r>
      <w:r>
        <w:t xml:space="preserve">“a joint density”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“the joint density”</w:t>
      </w:r>
      <w:r>
        <w:t xml:space="preserve"> </w:t>
      </w:r>
      <w:r>
        <w:t xml:space="preserve">because a density is not unique:</w:t>
      </w:r>
      <w:r>
        <w:t xml:space="preserve"> </w:t>
      </w:r>
      <w:r>
        <w:t xml:space="preserve">changing it on a set of zero area</w:t>
      </w:r>
      <w:r>
        <w:t xml:space="preserve"> </w:t>
      </w:r>
      <w:r>
        <w:t xml:space="preserve">(zero length, in the mixed case)</w:t>
      </w:r>
      <w:r>
        <w:t xml:space="preserve"> </w:t>
      </w:r>
      <w:r>
        <w:t xml:space="preserve">changes none of its integrals.</w:t>
      </w:r>
    </w:p>
    <w:bookmarkStart w:id="22" w:name="exm-indpt-pmf-fails"/>
    <w:p>
      <w:pPr>
        <w:pStyle w:val="BodyText"/>
      </w:pPr>
      <w:r>
        <w:rPr>
          <w:b/>
          <w:bCs/>
        </w:rPr>
        <w:t xml:space="preserve">Example 2 (The PMF form fails for continuous random variables)</w:t>
      </w:r>
      <w:r>
        <w:t xml:space="preserve"> </w:t>
      </w:r>
      <w:r>
        <w:t xml:space="preserve">The factorization in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work as a definition of independence</w:t>
      </w:r>
      <w:r>
        <w:t xml:space="preserve"> </w:t>
      </w:r>
      <w:r>
        <w:t xml:space="preserve">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  <w:r>
        <w:t xml:space="preserve"> </w:t>
      </w:r>
      <w:r>
        <w:t xml:space="preserve">For instance,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whose density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 empty otherwise,</w:t>
      </w:r>
      <w:r>
        <w:t xml:space="preserve"> </w:t>
      </w:r>
      <w:r>
        <w:t xml:space="preserve">so it has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PMF form holds.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density of </m:t>
              </m:r>
              <m:r>
                <m:t>X</m:t>
              </m:r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2"/>
    <w:p>
      <w:pPr>
        <w:pStyle w:val="FirstParagraph"/>
      </w:pPr>
      <w:bookmarkStart w:id="23" w:name="sec-conditional-independence"/>
      <w:bookmarkEnd w:id="23"/>
    </w:p>
    <w:bookmarkStart w:id="24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given a discrete random variable (or vector)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if, for every value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nary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continuous, every event</w:t>
      </w:r>
      <w:r>
        <w:t xml:space="preserve"> </w:t>
      </w:r>
      <m:oMath>
        <m:r>
          <m:rPr>
            <m:sty m:val="p"/>
          </m:rPr>
          <m:t>{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</m:nary>
        </m:oMath>
      </m:oMathPara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bookmarkStart w:id="26" w:name="exm-cind"/>
    <w:p>
      <w:pPr>
        <w:pStyle w:val="BodyText"/>
      </w:pPr>
      <w:r>
        <w:rPr>
          <w:b/>
          <w:bCs/>
        </w:rPr>
        <w:t xml:space="preserve">Example 3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25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26"/>
    <w:bookmarkStart w:id="27" w:name="exm-indpt-not-cind"/>
    <w:p>
      <w:pPr>
        <w:pStyle w:val="BodyText"/>
      </w:pPr>
      <w:r>
        <w:rPr>
          <w:b/>
          <w:bCs/>
        </w:rPr>
        <w:t xml:space="preserve">Example 4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7"/>
    <w:bookmarkStart w:id="28" w:name="prp-cind-indpt-neither"/>
    <w:p>
      <w:pPr>
        <w:pStyle w:val="BodyText"/>
      </w:pPr>
      <w:r>
        <w:rPr>
          <w:b/>
          <w:bCs/>
        </w:rPr>
        <w:t xml:space="preserve">Proposition 1 (Neither independence nor conditional independence implies the other)</w:t>
      </w:r>
      <w:r>
        <w:t xml:space="preserve"> </w:t>
      </w:r>
      <w:r>
        <w:t xml:space="preserve">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 not</w:t>
      </w:r>
      <w:r>
        <w:t xml:space="preserve"> </w:t>
      </w:r>
      <w:hyperlink w:anchor="def-indpt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and 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w:anchor="exm-cin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gives the first case,</w:t>
      </w:r>
      <w:r>
        <w:t xml:space="preserve"> </w:t>
      </w:r>
      <w:r>
        <w:t xml:space="preserve">and</w:t>
      </w:r>
      <w:r>
        <w:t xml:space="preserve"> </w:t>
      </w:r>
      <w:hyperlink w:anchor="exm-indpt-not-cin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gives the second.</w:t>
      </w:r>
    </w:p>
    <w:bookmarkStart w:id="29" w:name="exm-umbrellas-rain"/>
    <w:p>
      <w:pPr>
        <w:pStyle w:val="BodyText"/>
      </w:pPr>
      <w:r>
        <w:rPr>
          <w:b/>
          <w:bCs/>
        </w:rPr>
        <w:t xml:space="preserve">Example 5 (Wet roads, umbrellas, and rain)</w:t>
      </w:r>
      <w:r>
        <w:t xml:space="preserve"> </w:t>
      </w:r>
      <w:r>
        <w:t xml:space="preserve">Consider Brian Hutchinson’s intuitive illustration of conditional independence</w:t>
      </w:r>
      <w:r>
        <w:t xml:space="preserve"> </w:t>
      </w:r>
      <w:r>
        <w:t xml:space="preserve">(Hutchinson 2024)</w:t>
      </w:r>
      <w:r>
        <w:t xml:space="preserve">: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denote wet roads,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denote people carrying umbrellas,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denote rain.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Marginally, wet roads and umbrellas are not independent (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u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If you look out a window and see people holding open umbrellas,</w:t>
      </w:r>
      <w:r>
        <w:t xml:space="preserve"> </w:t>
      </w:r>
      <w:r>
        <w:t xml:space="preserve">that increases the probability that the pavement outside is wet.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Conditionally on rain, they are independent (</w:t>
      </w:r>
      <m:oMath>
        <m:r>
          <m:t>w</m:t>
        </m:r>
        <m:r>
          <m:rPr>
            <m:sty m:val="p"/>
          </m:rPr>
          <m:t>⟂</m:t>
        </m:r>
        <m:r>
          <m:t>u</m:t>
        </m:r>
        <m:r>
          <m:rPr>
            <m:sty m:val="p"/>
          </m:rPr>
          <m:t>∣</m:t>
        </m:r>
        <m:r>
          <m:t>r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Once you know with certainty whether it is currently raining,</w:t>
      </w:r>
      <w:r>
        <w:t xml:space="preserve"> </w:t>
      </w:r>
      <w:r>
        <w:t xml:space="preserve">learning whether pedestrians are carrying umbrellas tells you nothing more about the state of the roads: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u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</m:oMath>
      </m:oMathPara>
    </w:p>
    <w:bookmarkEnd w:id="29"/>
    <w:bookmarkStart w:id="30" w:name="prp-cind-own-covariate"/>
    <w:p>
      <w:pPr>
        <w:pStyle w:val="FirstParagraph"/>
      </w:pPr>
      <w:r>
        <w:rPr>
          <w:b/>
          <w:bCs/>
        </w:rPr>
        <w:t xml:space="preserve">Proposition 2 (Conditional independence when each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depends only on its own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discrete random vector,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Suppose also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set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Then, for every such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conditional probability 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independence given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depends on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only through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regression,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assumes, as</w:t>
      </w:r>
      <w:r>
        <w:t xml:space="preserve"> </w:t>
      </w:r>
      <w:hyperlink w:anchor="prp-cind-own-covariate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bookmarkStart w:id="32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31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2"/>
    <w:bookmarkStart w:id="34" w:name="thm-ident-pmf"/>
    <w:p>
      <w:pPr>
        <w:pStyle w:val="FirstParagraph"/>
      </w:pPr>
      <w:r>
        <w:rPr>
          <w:b/>
          <w:bCs/>
        </w:rPr>
        <w:t xml:space="preserve">Theorem 3 (Identically distributed discrete random variables have the same PMF)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 </w:t>
      </w:r>
      <w:r>
        <w:t xml:space="preserve">if and only if they all have the same</w:t>
      </w:r>
      <w:r>
        <w:t xml:space="preserve"> </w:t>
      </w:r>
      <w:hyperlink r:id="rId33">
        <w:r>
          <w:rPr>
            <w:rStyle w:val="Hyperlink"/>
          </w:rPr>
          <w:t xml:space="preserve">PMF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every real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CDF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if: the CDF determines the PMF through its jumps.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Every number below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in exactly one of the intervals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&lt;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for each</w:t>
      </w:r>
      <w:r>
        <w:t xml:space="preserve"> </w:t>
      </w:r>
      <m:oMath>
        <m:r>
          <m:t>K</m:t>
        </m:r>
      </m:oMath>
      <w:r>
        <w:t xml:space="preserve">,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have union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infinite series)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same two steps, for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If: the PMF determines the CDF through sums.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values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 the PMFs are equal,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also the set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every real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over the countably many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t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PMFs are equal)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(restore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 independence (</w:t>
      </w:r>
      <w:hyperlink w:anchor="exm-indpt-pmf-fails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35" w:name="exm-ident"/>
    <w:p>
      <w:pPr>
        <w:pStyle w:val="BodyText"/>
      </w:pPr>
      <w:r>
        <w:rPr>
          <w:b/>
          <w:bCs/>
        </w:rPr>
        <w:t xml:space="preserve">Example 6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 (</w:t>
      </w:r>
      <w:hyperlink w:anchor="thm-ident-pmf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They are not independent: knowing one determines the other.</w:t>
      </w:r>
    </w:p>
    <w:bookmarkEnd w:id="35"/>
    <w:bookmarkStart w:id="36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36"/>
    <w:bookmarkStart w:id="37" w:name="exm-cident"/>
    <w:p>
      <w:pPr>
        <w:pStyle w:val="BodyText"/>
      </w:pPr>
      <w:r>
        <w:rPr>
          <w:b/>
          <w:bCs/>
        </w:rPr>
        <w:t xml:space="preserve">Example 7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7"/>
    <w:bookmarkStart w:id="38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 if they are:</w:t>
      </w:r>
    </w:p>
    <w:p>
      <w:pPr>
        <w:pStyle w:val="Compact"/>
        <w:numPr>
          <w:ilvl w:val="0"/>
          <w:numId w:val="1002"/>
        </w:numPr>
      </w:pP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3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39" w:name="exm-iid"/>
    <w:p>
      <w:pPr>
        <w:pStyle w:val="BodyText"/>
      </w:pPr>
      <w:r>
        <w:rPr>
          <w:b/>
          <w:bCs/>
        </w:rPr>
        <w:t xml:space="preserve">Example 8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39"/>
    <w:bookmarkStart w:id="40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0"/>
    <w:bookmarkStart w:id="41" w:name="exm-ciid"/>
    <w:p>
      <w:pPr>
        <w:pStyle w:val="FirstParagraph"/>
      </w:pPr>
      <w:r>
        <w:rPr>
          <w:b/>
          <w:bCs/>
        </w:rPr>
        <w:t xml:space="preserve">Example 9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7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independence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47">
        <w:r>
          <w:rPr>
            <w:rStyle w:val="Hyperlink"/>
          </w:rPr>
          <w:t xml:space="preserve">independence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9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48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49"/>
    <w:bookmarkStart w:id="50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50"/>
    <w:bookmarkStart w:id="5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2"/>
    <w:bookmarkStart w:id="53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53"/>
    <w:bookmarkStart w:id="55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54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hyperlink" Id="rId54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1" Target="https://www.cengage.com/c/statistical-inference-2e-casella-berger/9780534243128/" TargetMode="External" /><Relationship Type="http://schemas.openxmlformats.org/officeDocument/2006/relationships/hyperlink" Id="rId48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1" Target="https://www.cengage.com/c/statistical-inference-2e-casella-berger/9780534243128/" TargetMode="External" /><Relationship Type="http://schemas.openxmlformats.org/officeDocument/2006/relationships/hyperlink" Id="rId48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2026-10-14T21:02:49Z</dcterms:created>
  <dcterms:modified xsi:type="dcterms:W3CDTF">2026-10-14T21:02:49Z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13:59:07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