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2026-10-06 10:41:36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6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7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8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8"/>
    <w:bookmarkStart w:id="7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97" w:name="sec-loss-risk"/>
    <w:p>
      <w:pPr>
        <w:pStyle w:val="Heading2"/>
      </w:pPr>
      <w:r>
        <w:t xml:space="preserve">3 Loss and risk</w:t>
      </w:r>
    </w:p>
    <w:bookmarkStart w:id="8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88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2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2"/>
    <w:bookmarkStart w:id="93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3"/>
    <w:bookmarkStart w:id="94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5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5"/>
    <w:bookmarkStart w:id="9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7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2"/>
    <w:bookmarkStart w:id="1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04"/>
    <w:bookmarkStart w:id="10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06"/>
    <w:bookmarkStart w:id="10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7"/>
    <w:bookmarkStart w:id="109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08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09"/>
    <w:bookmarkStart w:id="11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hyperlink" Id="rId105" Target="https://doi.org/10.1007/978-0-387-84858-7" TargetMode="External" /><Relationship Type="http://schemas.openxmlformats.org/officeDocument/2006/relationships/hyperlink" Id="rId103" Target="https://doi.org/10.1007/978-1-4614-4708-5" TargetMode="External" /><Relationship Type="http://schemas.openxmlformats.org/officeDocument/2006/relationships/hyperlink" Id="rId101" Target="https://doi.org/10.1201/9781315182780" TargetMode="External" /><Relationship Type="http://schemas.openxmlformats.org/officeDocument/2006/relationships/hyperlink" Id="rId10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10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https://doi.org/10.1007/978-0-387-84858-7" TargetMode="External" /><Relationship Type="http://schemas.openxmlformats.org/officeDocument/2006/relationships/hyperlink" Id="rId103" Target="https://doi.org/10.1007/978-1-4614-4708-5" TargetMode="External" /><Relationship Type="http://schemas.openxmlformats.org/officeDocument/2006/relationships/hyperlink" Id="rId101" Target="https://doi.org/10.1201/9781315182780" TargetMode="External" /><Relationship Type="http://schemas.openxmlformats.org/officeDocument/2006/relationships/hyperlink" Id="rId10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10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2026-10-06T17:44:23Z</dcterms:created>
  <dcterms:modified xsi:type="dcterms:W3CDTF">2026-10-06T17:44:23Z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10:41:36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