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2026-10-05 00:35:48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30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uniform density</w:t>
        </w:r>
      </w:hyperlink>
      <w:r>
        <w:t xml:space="preserve">).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30"/>
    <w:bookmarkStart w:id="3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2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2"/>
    <w:bookmarkStart w:id="3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4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4"/>
    <w:bookmarkStart w:id="35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5"/>
    <w:bookmarkStart w:id="36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6"/>
    <w:bookmarkStart w:id="66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7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6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7"/>
    <w:bookmarkStart w:id="48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8"/>
    <w:bookmarkStart w:id="49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Start w:id="51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1"/>
    <w:bookmarkStart w:id="52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2"/>
    <w:bookmarkStart w:id="53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3"/>
    <w:bookmarkStart w:id="54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4"/>
    <w:bookmarkStart w:id="55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7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6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0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1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1"/>
    <w:bookmarkStart w:id="62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0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3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3"/>
    <w:bookmarkStart w:id="64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5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6"/>
    <w:bookmarkStart w:id="87" w:name="fubinitonelli-for-expectations"/>
    <w:p>
      <w:pPr>
        <w:pStyle w:val="Heading2"/>
      </w:pPr>
      <w:r>
        <w:t xml:space="preserve">2 Fubini–Tonelli for expectations</w:t>
      </w:r>
    </w:p>
    <w:bookmarkStart w:id="68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7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0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1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1"/>
    <w:bookmarkStart w:id="73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2"/>
        </w:tc>
      </w:tr>
    </w:tbl>
    <w:bookmarkEnd w:id="73"/>
    <w:bookmarkStart w:id="75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4"/>
        </w:tc>
      </w:tr>
    </w:tbl>
    <w:bookmarkEnd w:id="75"/>
    <w:bookmarkStart w:id="76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7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8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9" w:name="exm-lie"/>
    <w:p>
      <w:pPr>
        <w:pStyle w:val="BodyText"/>
      </w:pPr>
      <w:r>
        <w:rPr>
          <w:b/>
          <w:bCs/>
        </w:rPr>
        <w:t xml:space="preserve">Example 19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9"/>
    <w:bookmarkStart w:id="80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4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5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6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7"/>
    <w:bookmarkStart w:id="92" w:name="sec-loss-risk"/>
    <w:p>
      <w:pPr>
        <w:pStyle w:val="Heading2"/>
      </w:pPr>
      <w:r>
        <w:t xml:space="preserve">3 Loss and risk</w:t>
      </w:r>
    </w:p>
    <w:bookmarkStart w:id="88" w:name="exr-loss"/>
    <w:p>
      <w:pPr>
        <w:pStyle w:val="FirstParagraph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88"/>
    <w:bookmarkStart w:id="8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89"/>
    <w:bookmarkStart w:id="90" w:name="def-loss-function"/>
    <w:p>
      <w:pPr>
        <w:pStyle w:val="FirstParagraph"/>
      </w:pPr>
      <w:r>
        <w:rPr>
          <w:b/>
          <w:bCs/>
        </w:rPr>
        <w:t xml:space="preserve">Definition 9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 predicting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1" w:name="def-risk"/>
    <w:p>
      <w:pPr>
        <w:pStyle w:val="BodyText"/>
      </w:pPr>
      <w:r>
        <w:rPr>
          <w:b/>
          <w:bCs/>
        </w:rPr>
        <w:t xml:space="preserve">Definition 10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92"/>
    <w:bookmarkStart w:id="108" w:name="references"/>
    <w:p>
      <w:pPr>
        <w:pStyle w:val="Heading2"/>
      </w:pPr>
      <w:r>
        <w:t xml:space="preserve">References</w:t>
      </w:r>
    </w:p>
    <w:bookmarkStart w:id="107" w:name="refs"/>
    <w:bookmarkStart w:id="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3"/>
    <w:bookmarkStart w:id="9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5"/>
    <w:bookmarkStart w:id="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7"/>
    <w:bookmarkStart w:id="9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99"/>
    <w:bookmarkStart w:id="10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01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03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04"/>
    <w:bookmarkStart w:id="106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00" Target="https://doi.org/10.1007/978-0-387-84858-7" TargetMode="External" /><Relationship Type="http://schemas.openxmlformats.org/officeDocument/2006/relationships/hyperlink" Id="rId98" Target="https://doi.org/10.1007/978-1-4614-4708-5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3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05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67" Target="https://morrison-lab.github.io/mds/measures.html#def-measure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7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0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6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6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doi.org/10.1007/978-0-387-84858-7" TargetMode="External" /><Relationship Type="http://schemas.openxmlformats.org/officeDocument/2006/relationships/hyperlink" Id="rId98" Target="https://doi.org/10.1007/978-1-4614-4708-5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3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05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67" Target="https://morrison-lab.github.io/mds/measures.html#def-measure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7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0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6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6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2026-10-05T07:38:38Z</dcterms:created>
  <dcterms:modified xsi:type="dcterms:W3CDTF">2026-10-05T07:38:38Z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