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01:44:13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following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builds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A</w:t>
      </w:r>
      <w:r>
        <w:t xml:space="preserve"> </w:t>
      </w:r>
      <w:r>
        <w:rPr>
          <w:rStyle w:val="VerbatimChar"/>
        </w:rPr>
        <w:t xml:space="preserve">.lintr.R</w:t>
      </w:r>
      <w:r>
        <w:t xml:space="preserve"> </w:t>
      </w:r>
      <w:r>
        <w:t xml:space="preserve">configuration can enforce this via</w:t>
      </w:r>
      <w:r>
        <w:t xml:space="preserve"> </w:t>
      </w:r>
      <w:r>
        <w:rPr>
          <w:rStyle w:val="VerbatimChar"/>
        </w:rPr>
        <w:t xml:space="preserve">pipe_consistency_linter(pipe = "|&gt;")</w:t>
      </w:r>
    </w:p>
    <w:p>
      <w:pPr>
        <w:pStyle w:val="FirstParagraph"/>
      </w:pPr>
      <w:r>
        <w:t xml:space="preserve">A</w:t>
      </w:r>
      <w:r>
        <w:t xml:space="preserve"> </w:t>
      </w:r>
      <w:r>
        <w:rPr>
          <w:rStyle w:val="VerbatimChar"/>
        </w:rPr>
        <w:t xml:space="preserve">.lintr.R</w:t>
      </w:r>
      <w:r>
        <w:t xml:space="preserve"> </w:t>
      </w:r>
      <w:r>
        <w:t xml:space="preserve">configuration file can enforce many of these rules automatically;</w:t>
      </w:r>
      <w:r>
        <w:t xml:space="preserve"> </w:t>
      </w:r>
      <w:r>
        <w:t xml:space="preserve">see, for example, the UCD-SERG lab manual’s</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recommend explicit returns.</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from your own group</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A</w:t>
      </w:r>
      <w:r>
        <w:t xml:space="preserve"> </w:t>
      </w:r>
      <w:r>
        <w:rPr>
          <w:rStyle w:val="VerbatimChar"/>
        </w:rPr>
        <w:t xml:space="preserve">.lintr.R</w:t>
      </w:r>
      <w:r>
        <w:t xml:space="preserve"> </w:t>
      </w:r>
      <w:r>
        <w:t xml:space="preserve">configuration can enforce this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your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A</w:t>
      </w:r>
      <w:r>
        <w:t xml:space="preserve"> </w:t>
      </w:r>
      <w:r>
        <w:rPr>
          <w:rStyle w:val="VerbatimChar"/>
        </w:rPr>
        <w:t xml:space="preserve">.lintr.R</w:t>
      </w:r>
      <w:r>
        <w:t xml:space="preserve"> </w:t>
      </w:r>
      <w:r>
        <w:t xml:space="preserve">configuration can enforce this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a</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 UCD-SERG</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has better R syntax support).</w:t>
            </w:r>
          </w:p>
          <w:p/>
        </w:tc>
      </w:tr>
    </w:tbl>
    <w:bookmarkEnd w:id="109"/>
    <w:bookmarkStart w:id="120" w:name="an-example-lintr-configuration"/>
    <w:p>
      <w:pPr>
        <w:pStyle w:val="Heading3"/>
      </w:pPr>
      <w:r>
        <w:t xml:space="preserve">18.3 An Example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your style standards.</w:t>
      </w:r>
      <w:r>
        <w:t xml:space="preserve"> </w:t>
      </w:r>
      <w:r>
        <w:t xml:space="preserve">For an example, see the UCD-SERG lab 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hyperlink r:id="rId13">
              <w:r>
                <w:rPr>
                  <w:rStyle w:val="VerbatimChar"/>
                </w:rPr>
                <w:t xml:space="preserve">.lintr.R</w:t>
              </w:r>
            </w:hyperlink>
            <w:r>
              <w:t xml:space="preserve"> </w:t>
            </w:r>
            <w:r>
              <w:t xml:space="preserve">configuration (the UCD-SERG lab manual’s) and the</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2026-10-14T08:49:08Z</dcterms:created>
  <dcterms:modified xsi:type="dcterms:W3CDTF">2026-10-14T08:49:08Z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