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2026-10-09 23:47:44 (PDT)</w:delText>
        </w:r>
      </w:del>
    </w:p>
    <w:p>
      <w:pPr>
        <w:pStyle w:val="Title"/>
      </w:pPr>
      <w:ins w:id="3" w:author="PR Preview" w:date="2026-01-01T00:00:00Z">
        <w:r>
          <w:t xml:space="preserve">Principles of Scientific Computing</w:t>
        </w:r>
      </w:ins>
    </w:p>
    <w:p>
      <w:pPr>
        <w:pStyle w:val="Date"/>
      </w:pPr>
      <w:ins w:id="4" w:author="PR Preview" w:date="2026-01-01T00:00:00Z">
        <w:r>
          <w:t xml:space="preserve">Last modified: 2026-10-10 00:23:39 (PDT)</w:t>
        </w:r>
      </w:ins>
    </w:p>
    <w:bookmarkStart w:id="27" w:name="welcome"/>
    <w:p>
      <w:pPr>
        <w:pStyle w:val="Heading1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22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rPr>
            <w:i/>
            <w:iCs/>
          </w:rPr>
          <w:t xml:space="preserve">Principles of Scientific Computing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(psc) collects practical guidance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on writing, organizing, sharing, and maintaining code for research projects.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It is the computing companion to</w:t>
        </w:r>
      </w:ins>
      <w:ins w:id="104" w:author="PR Preview" w:date="2026-01-01T00:00:00Z">
        <w:r>
          <w:t xml:space="preserve"> </w:t>
        </w:r>
      </w:ins>
      <w:hyperlink r:id="rId9">
        <w:ins w:id="105" w:author="PR Preview" w:date="2026-01-01T00:00:00Z">
          <w:r>
            <w:rPr>
              <w:rStyle w:val="Hyperlink"/>
              <w:i/>
              <w:iCs/>
            </w:rPr>
            <w:t xml:space="preserve">Principles of Scientific Writing</w:t>
          </w:r>
        </w:ins>
      </w:hyperlink>
      <w:ins w:id="106" w:author="PR Preview" w:date="2026-01-01T00:00:00Z">
        <w:r>
          <w:t xml:space="preserve">.</w:t>
        </w:r>
      </w:ins>
    </w:p>
    <w:p>
      <w:pPr>
        <w:pStyle w:val="BodyText"/>
      </w:pPr>
      <w:ins w:id="107" w:author="PR Preview" w:date="2026-01-01T00:00:00Z">
        <w:r>
          <w:t xml:space="preserve">The guidance applies to any research project,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whether it is a lab analysis, a course, or a software package.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Most examples use R,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but the principles carry over to other languages.</w:t>
        </w:r>
      </w:ins>
    </w:p>
    <w:bookmarkStart w:id="22" w:name="whats-here"/>
    <w:p>
      <w:pPr>
        <w:pStyle w:val="Heading2"/>
      </w:pPr>
      <w:ins w:id="114" w:author="PR Preview" w:date="2026-01-01T00:00:00Z">
        <w:r>
          <w:t xml:space="preserve">What’s here</w:t>
        </w:r>
      </w:ins>
    </w:p>
    <w:p>
      <w:pPr>
        <w:numPr>
          <w:ilvl w:val="0"/>
          <w:numId w:val="1001"/>
        </w:numPr>
      </w:pPr>
      <w:ins w:id="115" w:author="PR Preview" w:date="2026-01-01T00:00:00Z">
        <w:r>
          <w:rPr>
            <w:b/>
            <w:bCs/>
          </w:rPr>
          <w:t xml:space="preserve">Writing code</w:t>
        </w:r>
      </w:ins>
      <w:ins w:id="116" w:author="PR Preview" w:date="2026-01-01T00:00:00Z">
        <w:r>
          <w:t xml:space="preserve">:</w:t>
        </w:r>
      </w:ins>
      <w:ins w:id="117" w:author="PR Preview" w:date="2026-01-01T00:00:00Z">
        <w:r>
          <w:t xml:space="preserve"> </w:t>
        </w:r>
      </w:ins>
      <w:hyperlink r:id="rId10">
        <w:ins w:id="118" w:author="PR Preview" w:date="2026-01-01T00:00:00Z">
          <w:r>
            <w:rPr>
              <w:rStyle w:val="Hyperlink"/>
            </w:rPr>
            <w:t xml:space="preserve">coding style</w:t>
          </w:r>
        </w:ins>
      </w:hyperlink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hyperlink r:id="rId11">
        <w:ins w:id="121" w:author="PR Preview" w:date="2026-01-01T00:00:00Z">
          <w:r>
            <w:rPr>
              <w:rStyle w:val="Hyperlink"/>
            </w:rPr>
            <w:t xml:space="preserve">coding practices</w:t>
          </w:r>
        </w:ins>
      </w:hyperlink>
      <w:ins w:id="122" w:author="PR Preview" w:date="2026-01-01T00:00:00Z">
        <w:r>
          <w:t xml:space="preserve">,</w:t>
        </w:r>
      </w:ins>
      <w:ins w:id="123" w:author="PR Preview" w:date="2026-01-01T00:00:00Z">
        <w:r>
          <w:t xml:space="preserve"> </w:t>
        </w:r>
      </w:ins>
      <w:hyperlink r:id="rId12">
        <w:ins w:id="124" w:author="PR Preview" w:date="2026-01-01T00:00:00Z">
          <w:r>
            <w:rPr>
              <w:rStyle w:val="Hyperlink"/>
            </w:rPr>
            <w:t xml:space="preserve">data masking</w:t>
          </w:r>
        </w:ins>
      </w:hyperlink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and</w:t>
        </w:r>
      </w:ins>
      <w:ins w:id="128" w:author="PR Preview" w:date="2026-01-01T00:00:00Z">
        <w:r>
          <w:t xml:space="preserve"> </w:t>
        </w:r>
      </w:ins>
      <w:hyperlink r:id="rId13">
        <w:ins w:id="129" w:author="PR Preview" w:date="2026-01-01T00:00:00Z">
          <w:r>
            <w:rPr>
              <w:rStyle w:val="Hyperlink"/>
            </w:rPr>
            <w:t xml:space="preserve">working with big data</w:t>
          </w:r>
        </w:ins>
      </w:hyperlink>
      <w:ins w:id="13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31" w:author="PR Preview" w:date="2026-01-01T00:00:00Z">
        <w:r>
          <w:rPr>
            <w:b/>
            <w:bCs/>
          </w:rPr>
          <w:t xml:space="preserve">Projects</w:t>
        </w:r>
      </w:ins>
      <w:ins w:id="132" w:author="PR Preview" w:date="2026-01-01T00:00:00Z">
        <w:r>
          <w:t xml:space="preserve">:</w:t>
        </w:r>
      </w:ins>
      <w:ins w:id="133" w:author="PR Preview" w:date="2026-01-01T00:00:00Z">
        <w:r>
          <w:t xml:space="preserve"> </w:t>
        </w:r>
      </w:ins>
      <w:hyperlink r:id="rId14">
        <w:ins w:id="134" w:author="PR Preview" w:date="2026-01-01T00:00:00Z">
          <w:r>
            <w:rPr>
              <w:rStyle w:val="Hyperlink"/>
            </w:rPr>
            <w:t xml:space="preserve">code repositories</w:t>
          </w:r>
        </w:ins>
      </w:hyperlink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hyperlink r:id="rId15">
        <w:ins w:id="137" w:author="PR Preview" w:date="2026-01-01T00:00:00Z">
          <w:r>
            <w:rPr>
              <w:rStyle w:val="Hyperlink"/>
            </w:rPr>
            <w:t xml:space="preserve">reproducible environments</w:t>
          </w:r>
        </w:ins>
      </w:hyperlink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w:hyperlink r:id="rId16">
        <w:ins w:id="142" w:author="PR Preview" w:date="2026-01-01T00:00:00Z">
          <w:r>
            <w:rPr>
              <w:rStyle w:val="Hyperlink"/>
            </w:rPr>
            <w:t xml:space="preserve">code publication</w:t>
          </w:r>
        </w:ins>
      </w:hyperlink>
      <w:ins w:id="14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44" w:author="PR Preview" w:date="2026-01-01T00:00:00Z">
        <w:r>
          <w:rPr>
            <w:b/>
            <w:bCs/>
          </w:rPr>
          <w:t xml:space="preserve">Collaboration</w:t>
        </w:r>
      </w:ins>
      <w:ins w:id="145" w:author="PR Preview" w:date="2026-01-01T00:00:00Z">
        <w:r>
          <w:t xml:space="preserve">:</w:t>
        </w:r>
      </w:ins>
      <w:ins w:id="146" w:author="PR Preview" w:date="2026-01-01T00:00:00Z">
        <w:r>
          <w:t xml:space="preserve"> </w:t>
        </w:r>
      </w:ins>
      <w:hyperlink r:id="rId17">
        <w:ins w:id="147" w:author="PR Preview" w:date="2026-01-01T00:00:00Z">
          <w:r>
            <w:rPr>
              <w:rStyle w:val="Hyperlink"/>
            </w:rPr>
            <w:t xml:space="preserve">Git and GitHub</w:t>
          </w:r>
        </w:ins>
      </w:hyperlink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hyperlink r:id="rId18">
        <w:ins w:id="150" w:author="PR Preview" w:date="2026-01-01T00:00:00Z">
          <w:r>
            <w:rPr>
              <w:rStyle w:val="Hyperlink"/>
            </w:rPr>
            <w:t xml:space="preserve">collaborative software development</w:t>
          </w:r>
        </w:ins>
      </w:hyperlink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w:hyperlink r:id="rId19">
        <w:ins w:id="155" w:author="PR Preview" w:date="2026-01-01T00:00:00Z">
          <w:r>
            <w:rPr>
              <w:rStyle w:val="Hyperlink"/>
            </w:rPr>
            <w:t xml:space="preserve">continuous integration</w:t>
          </w:r>
        </w:ins>
      </w:hyperlink>
      <w:ins w:id="156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57" w:author="PR Preview" w:date="2026-01-01T00:00:00Z">
        <w:r>
          <w:rPr>
            <w:b/>
            <w:bCs/>
          </w:rPr>
          <w:t xml:space="preserve">Tools</w:t>
        </w:r>
      </w:ins>
      <w:ins w:id="158" w:author="PR Preview" w:date="2026-01-01T00:00:00Z">
        <w:r>
          <w:t xml:space="preserve">:</w:t>
        </w:r>
      </w:ins>
      <w:ins w:id="159" w:author="PR Preview" w:date="2026-01-01T00:00:00Z">
        <w:r>
          <w:t xml:space="preserve"> </w:t>
        </w:r>
      </w:ins>
      <w:hyperlink r:id="rId20">
        <w:ins w:id="160" w:author="PR Preview" w:date="2026-01-01T00:00:00Z">
          <w:r>
            <w:rPr>
              <w:rStyle w:val="Hyperlink"/>
            </w:rPr>
            <w:t xml:space="preserve">the Unix command line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w:hyperlink r:id="rId21">
        <w:ins w:id="164" w:author="PR Preview" w:date="2026-01-01T00:00:00Z">
          <w:r>
            <w:rPr>
              <w:rStyle w:val="Hyperlink"/>
            </w:rPr>
            <w:t xml:space="preserve">Quarto</w:t>
          </w:r>
        </w:ins>
      </w:hyperlink>
      <w:ins w:id="165" w:author="PR Preview" w:date="2026-01-01T00:00:00Z">
        <w:r>
          <w:t xml:space="preserve">.</w:t>
        </w:r>
      </w:ins>
    </w:p>
    <w:p>
      <w:pPr>
        <w:pStyle w:val="FirstParagraph"/>
      </w:pPr>
      <w:ins w:id="166" w:author="PR Preview" w:date="2026-01-01T00:00:00Z">
        <w:r>
          <w:t xml:space="preserve">Each page is also available as RevealJS slides (</w:t>
        </w:r>
      </w:ins>
      <w:ins w:id="167" w:author="PR Preview" w:date="2026-01-01T00:00:00Z">
        <w:r>
          <w:rPr>
            <w:rStyle w:val="VerbatimChar"/>
          </w:rPr>
          <w:t xml:space="preserve">-slides.html</w:t>
        </w:r>
      </w:ins>
      <w:ins w:id="168" w:author="PR Preview" w:date="2026-01-01T00:00:00Z">
        <w:r>
          <w:t xml:space="preserve">),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 PDF handout (</w:t>
        </w:r>
      </w:ins>
      <w:ins w:id="171" w:author="PR Preview" w:date="2026-01-01T00:00:00Z">
        <w:r>
          <w:rPr>
            <w:rStyle w:val="VerbatimChar"/>
          </w:rPr>
          <w:t xml:space="preserve">-handout.pdf</w:t>
        </w:r>
      </w:ins>
      <w:ins w:id="172" w:author="PR Preview" w:date="2026-01-01T00:00:00Z">
        <w:r>
          <w:t xml:space="preserve">),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a Word document (</w:t>
        </w:r>
      </w:ins>
      <w:ins w:id="175" w:author="PR Preview" w:date="2026-01-01T00:00:00Z">
        <w:r>
          <w:rPr>
            <w:rStyle w:val="VerbatimChar"/>
          </w:rPr>
          <w:t xml:space="preserve">.docx</w:t>
        </w:r>
      </w:ins>
      <w:ins w:id="176" w:author="PR Preview" w:date="2026-01-01T00:00:00Z">
        <w:r>
          <w:t xml:space="preserve">).</w:t>
        </w:r>
      </w:ins>
    </w:p>
    <w:bookmarkEnd w:id="22"/>
    <w:bookmarkStart w:id="25" w:name="related-guides"/>
    <w:p>
      <w:pPr>
        <w:pStyle w:val="Heading2"/>
      </w:pPr>
      <w:ins w:id="177" w:author="PR Preview" w:date="2026-01-01T00:00:00Z">
        <w:r>
          <w:t xml:space="preserve">Related guides</w:t>
        </w:r>
      </w:ins>
    </w:p>
    <w:p>
      <w:pPr>
        <w:numPr>
          <w:ilvl w:val="0"/>
          <w:numId w:val="1002"/>
        </w:numPr>
      </w:pPr>
      <w:hyperlink r:id="rId9">
        <w:ins w:id="178" w:author="PR Preview" w:date="2026-01-01T00:00:00Z">
          <w:r>
            <w:rPr>
              <w:rStyle w:val="Hyperlink"/>
              <w:i/>
              <w:iCs/>
            </w:rPr>
            <w:t xml:space="preserve">Principles of Scientific Writing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covers writing about research and statistical analysis.</w:t>
        </w:r>
      </w:ins>
    </w:p>
    <w:p>
      <w:pPr>
        <w:numPr>
          <w:ilvl w:val="0"/>
          <w:numId w:val="1002"/>
        </w:numPr>
      </w:pPr>
      <w:hyperlink r:id="rId23">
        <w:ins w:id="181" w:author="PR Preview" w:date="2026-01-01T00:00:00Z">
          <w:r>
            <w:rPr>
              <w:rStyle w:val="Hyperlink"/>
              <w:i/>
              <w:iCs/>
            </w:rPr>
            <w:t xml:space="preserve">Working with AI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covers AI coding assistants and agent-driven pull requests.</w:t>
        </w:r>
      </w:ins>
    </w:p>
    <w:p>
      <w:pPr>
        <w:numPr>
          <w:ilvl w:val="0"/>
          <w:numId w:val="1002"/>
        </w:numPr>
      </w:pPr>
      <w:ins w:id="184" w:author="PR Preview" w:date="2026-01-01T00:00:00Z">
        <w:r>
          <w:t xml:space="preserve">The</w:t>
        </w:r>
      </w:ins>
      <w:ins w:id="185" w:author="PR Preview" w:date="2026-01-01T00:00:00Z">
        <w:r>
          <w:t xml:space="preserve"> </w:t>
        </w:r>
      </w:ins>
      <w:hyperlink r:id="rId24">
        <w:ins w:id="186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covers policies and resources specific to the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UC Davis Seroepidemiology Research Group,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such as computing clusters, onboarding, and communication.</w:t>
        </w:r>
      </w:ins>
    </w:p>
    <w:bookmarkEnd w:id="25"/>
    <w:bookmarkStart w:id="26" w:name="origin"/>
    <w:p>
      <w:pPr>
        <w:pStyle w:val="Heading2"/>
      </w:pPr>
      <w:ins w:id="193" w:author="PR Preview" w:date="2026-01-01T00:00:00Z">
        <w:r>
          <w:t xml:space="preserve">Origin</w:t>
        </w:r>
      </w:ins>
    </w:p>
    <w:p>
      <w:pPr>
        <w:pStyle w:val="FirstParagraph"/>
      </w:pPr>
      <w:ins w:id="194" w:author="PR Preview" w:date="2026-01-01T00:00:00Z">
        <w:r>
          <w:t xml:space="preserve">These chapters began in the UCD-SERG lab manual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 moved here, with their history, so that they can serve projects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outside that group.</w:t>
        </w:r>
      </w:ins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Relationship Id="rId22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2026-10-10T07:27:01Z</dcterms:created>
  <dcterms:modified xsi:type="dcterms:W3CDTF">2026-10-10T07:27:01Z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