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 masking</w:t>
      </w:r>
    </w:p>
    <w:p>
      <w:pPr>
        <w:pStyle w:val="Date"/>
      </w:pPr>
      <w:r>
        <w:t xml:space="preserve">Last modified: 2026-10-14 02:06:18 (PDT)</w:t>
      </w:r>
    </w:p>
    <w:bookmarkStart w:id="15" w:name="sec-general-overview"/>
    <w:p>
      <w:pPr>
        <w:pStyle w:val="Heading2"/>
      </w:pPr>
      <w:r>
        <w:t xml:space="preserve">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13" w:name="what-is-data-masking"/>
    <w:p>
      <w:pPr>
        <w:pStyle w:val="Heading3"/>
      </w:pPr>
      <w:r>
        <w:t xml:space="preserve">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12" w:name="fig-data-masking"/>
          <w:p>
            <w:pPr>
              <w:pStyle w:val="Compact"/>
              <w:jc w:val="center"/>
            </w:pPr>
            <w:r>
              <w:drawing>
                <wp:inline>
                  <wp:extent cx="2667000" cy="1103368"/>
                  <wp:effectExtent b="0" l="0" r="0" t="0"/>
                  <wp:docPr descr="" title="" id="10" name="Picture"/>
                  <a:graphic>
                    <a:graphicData uri="http://schemas.openxmlformats.org/drawingml/2006/picture">
                      <pic:pic>
                        <pic:nvPicPr>
                          <pic:cNvPr descr="../assets/images/data-masking.PNG" id="11" name="Picture"/>
                          <pic:cNvPicPr>
                            <a:picLocks noChangeArrowheads="1" noChangeAspect="1"/>
                          </pic:cNvPicPr>
                        </pic:nvPicPr>
                        <pic:blipFill>
                          <a:blip r:embed="rId9"/>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1: Data masking in tidyverse operations</w:t>
            </w:r>
          </w:p>
          <w:bookmarkEnd w:id="12"/>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13"/>
    <w:bookmarkStart w:id="14" w:name="using-tidy-evaluation-for-data-masking"/>
    <w:p>
      <w:pPr>
        <w:pStyle w:val="Heading3"/>
      </w:pPr>
      <w:r>
        <w:t xml:space="preserve">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p>
    <w:p>
      <w:pPr>
        <w:pStyle w:val="SourceCode"/>
      </w:pP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(heavyrain))</w:t>
      </w:r>
    </w:p>
    <w:p>
      <w:pPr>
        <w:pStyle w:val="FirstParagraph"/>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14"/>
    <w:bookmarkEnd w:id="15"/>
    <w:bookmarkStart w:id="28" w:name="sec-data-masking-vs-tidy-selection"/>
    <w:p>
      <w:pPr>
        <w:pStyle w:val="Heading2"/>
      </w:pPr>
      <w:r>
        <w:t xml:space="preserve">2 Data masking vs. tidy selection</w:t>
      </w:r>
    </w:p>
    <w:p>
      <w:pPr>
        <w:pStyle w:val="FirstParagraph"/>
      </w:pPr>
      <w:r>
        <w:t xml:space="preserve">Many</w:t>
      </w:r>
      <w:r>
        <w:t xml:space="preserve"> </w:t>
      </w:r>
      <w:hyperlink r:id="rId16">
        <w:r>
          <w:rPr>
            <w:rStyle w:val="VerbatimChar"/>
          </w:rPr>
          <w:t xml:space="preserve">{tidyverse}</w:t>
        </w:r>
      </w:hyperlink>
      <w:r>
        <w:t xml:space="preserve"> </w:t>
      </w:r>
      <w:r>
        <w:t xml:space="preserve">verbs use</w:t>
      </w:r>
      <w:r>
        <w:t xml:space="preserve"> </w:t>
      </w:r>
      <w:r>
        <w:rPr>
          <w:i/>
          <w:iCs/>
        </w:rPr>
        <w:t xml:space="preserve">two</w:t>
      </w:r>
      <w:r>
        <w:t xml:space="preserve"> </w:t>
      </w:r>
      <w:r>
        <w:t xml:space="preserve">different flavors of tidy evaluation,</w:t>
      </w:r>
      <w:r>
        <w:t xml:space="preserve"> </w:t>
      </w:r>
      <w:r>
        <w:t xml:space="preserve">and the way you refer to a column stored in a string variable depends on which one you are in.</w:t>
      </w:r>
    </w:p>
    <w:p>
      <w:pPr>
        <w:pStyle w:val="Compact"/>
        <w:numPr>
          <w:ilvl w:val="0"/>
          <w:numId w:val="1001"/>
        </w:numPr>
      </w:pPr>
      <w:r>
        <w:rPr>
          <w:b/>
          <w:bCs/>
        </w:rPr>
        <w:t xml:space="preserve">Data-masking</w:t>
      </w:r>
      <w:r>
        <w:t xml:space="preserve"> </w:t>
      </w:r>
      <w:r>
        <w:t xml:space="preserve">contexts treat column names as values you compute</w:t>
      </w:r>
      <w:r>
        <w:t xml:space="preserve"> </w:t>
      </w:r>
      <w:r>
        <w:rPr>
          <w:i/>
          <w:iCs/>
        </w:rPr>
        <w:t xml:space="preserve">with</w:t>
      </w:r>
      <w:r>
        <w:t xml:space="preserve">:</w:t>
      </w:r>
      <w:r>
        <w:t xml:space="preserve"> </w:t>
      </w:r>
      <w:r>
        <w:t xml:space="preserve">the</w:t>
      </w:r>
      <w:r>
        <w:t xml:space="preserve"> </w:t>
      </w:r>
      <w:hyperlink r:id="rId17">
        <w:r>
          <w:rPr>
            <w:rStyle w:val="VerbatimChar"/>
          </w:rPr>
          <w:t xml:space="preserve">{dplyr}</w:t>
        </w:r>
      </w:hyperlink>
      <w:r>
        <w:t xml:space="preserve"> </w:t>
      </w:r>
      <w:r>
        <w:t xml:space="preserve">verbs</w:t>
      </w:r>
      <w:r>
        <w:t xml:space="preserve"> </w:t>
      </w:r>
      <w:r>
        <w:rPr>
          <w:rStyle w:val="VerbatimChar"/>
        </w:rPr>
        <w:t xml:space="preserve">mutate()</w:t>
      </w:r>
      <w:r>
        <w:t xml:space="preserve">,</w:t>
      </w:r>
      <w:r>
        <w:t xml:space="preserve"> </w:t>
      </w:r>
      <w:r>
        <w:rPr>
          <w:rStyle w:val="VerbatimChar"/>
        </w:rPr>
        <w:t xml:space="preserve">filter()</w:t>
      </w:r>
      <w:r>
        <w:t xml:space="preserve">,</w:t>
      </w:r>
      <w:r>
        <w:t xml:space="preserve"> </w:t>
      </w:r>
      <w:r>
        <w:rPr>
          <w:rStyle w:val="VerbatimChar"/>
        </w:rPr>
        <w:t xml:space="preserve">summarize()</w:t>
      </w:r>
      <w:r>
        <w:t xml:space="preserve">/</w:t>
      </w:r>
      <w:r>
        <w:rPr>
          <w:rStyle w:val="VerbatimChar"/>
        </w:rPr>
        <w:t xml:space="preserve">summarise()</w:t>
      </w:r>
      <w:r>
        <w:t xml:space="preserve"> </w:t>
      </w:r>
      <w:r>
        <w:t xml:space="preserve">(the summary expressions),</w:t>
      </w:r>
      <w:r>
        <w:t xml:space="preserve"> </w:t>
      </w:r>
      <w:r>
        <w:rPr>
          <w:rStyle w:val="VerbatimChar"/>
        </w:rPr>
        <w:t xml:space="preserve">group_by()</w:t>
      </w:r>
      <w:r>
        <w:t xml:space="preserve">, and</w:t>
      </w:r>
      <w:r>
        <w:t xml:space="preserve"> </w:t>
      </w:r>
      <w:r>
        <w:rPr>
          <w:rStyle w:val="VerbatimChar"/>
        </w:rPr>
        <w:t xml:space="preserve">arrange()</w:t>
      </w:r>
      <w:r>
        <w:t xml:space="preserve">,</w:t>
      </w:r>
      <w:r>
        <w:t xml:space="preserve"> </w:t>
      </w:r>
      <w:r>
        <w:t xml:space="preserve">plus</w:t>
      </w:r>
      <w:r>
        <w:t xml:space="preserve"> </w:t>
      </w:r>
      <w:r>
        <w:rPr>
          <w:rStyle w:val="VerbatimChar"/>
        </w:rPr>
        <w:t xml:space="preserve">aes()</w:t>
      </w:r>
      <w:r>
        <w:t xml:space="preserve"> </w:t>
      </w:r>
      <w:r>
        <w:t xml:space="preserve">in</w:t>
      </w:r>
      <w:r>
        <w:t xml:space="preserve"> </w:t>
      </w:r>
      <w:hyperlink r:id="rId18">
        <w:r>
          <w:rPr>
            <w:rStyle w:val="VerbatimChar"/>
          </w:rPr>
          <w:t xml:space="preserve">{ggplot2}</w:t>
        </w:r>
      </w:hyperlink>
      <w:r>
        <w:t xml:space="preserve">.</w:t>
      </w:r>
    </w:p>
    <w:p>
      <w:pPr>
        <w:pStyle w:val="Compact"/>
        <w:numPr>
          <w:ilvl w:val="0"/>
          <w:numId w:val="1001"/>
        </w:numPr>
      </w:pPr>
      <w:r>
        <w:rPr>
          <w:b/>
          <w:bCs/>
        </w:rPr>
        <w:t xml:space="preserve">Tidy-selection</w:t>
      </w:r>
      <w:r>
        <w:t xml:space="preserve"> </w:t>
      </w:r>
      <w:r>
        <w:t xml:space="preserve">contexts treat column names as columns you</w:t>
      </w:r>
      <w:r>
        <w:t xml:space="preserve"> </w:t>
      </w:r>
      <w:r>
        <w:rPr>
          <w:i/>
          <w:iCs/>
        </w:rPr>
        <w:t xml:space="preserve">choose</w:t>
      </w:r>
      <w:r>
        <w:t xml:space="preserve">:</w:t>
      </w:r>
      <w:r>
        <w:t xml:space="preserve"> </w:t>
      </w:r>
      <w:r>
        <w:rPr>
          <w:rStyle w:val="VerbatimChar"/>
        </w:rPr>
        <w:t xml:space="preserve">select()</w:t>
      </w:r>
      <w:r>
        <w:t xml:space="preserve">,</w:t>
      </w:r>
      <w:r>
        <w:t xml:space="preserve"> </w:t>
      </w:r>
      <w:r>
        <w:rPr>
          <w:rStyle w:val="VerbatimChar"/>
        </w:rPr>
        <w:t xml:space="preserve">rename()</w:t>
      </w:r>
      <w:r>
        <w:t xml:space="preserve">,</w:t>
      </w:r>
      <w:r>
        <w:t xml:space="preserve"> </w:t>
      </w:r>
      <w:r>
        <w:rPr>
          <w:rStyle w:val="VerbatimChar"/>
        </w:rPr>
        <w:t xml:space="preserve">relocate()</w:t>
      </w:r>
      <w:r>
        <w:t xml:space="preserve">,</w:t>
      </w:r>
      <w:r>
        <w:t xml:space="preserve"> </w:t>
      </w:r>
      <w:r>
        <w:rPr>
          <w:rStyle w:val="VerbatimChar"/>
        </w:rPr>
        <w:t xml:space="preserve">pull()</w:t>
      </w:r>
      <w:r>
        <w:t xml:space="preserve">,</w:t>
      </w:r>
      <w:r>
        <w:t xml:space="preserve"> </w:t>
      </w:r>
      <w:r>
        <w:t xml:space="preserve">the</w:t>
      </w:r>
      <w:r>
        <w:t xml:space="preserve"> </w:t>
      </w:r>
      <w:r>
        <w:rPr>
          <w:rStyle w:val="VerbatimChar"/>
        </w:rPr>
        <w:t xml:space="preserve">.cols</w:t>
      </w:r>
      <w:r>
        <w:t xml:space="preserve"> </w:t>
      </w:r>
      <w:r>
        <w:t xml:space="preserve">argument of</w:t>
      </w:r>
      <w:r>
        <w:t xml:space="preserve"> </w:t>
      </w:r>
      <w:r>
        <w:rPr>
          <w:rStyle w:val="VerbatimChar"/>
        </w:rPr>
        <w:t xml:space="preserve">across()</w:t>
      </w:r>
      <w:r>
        <w:t xml:space="preserve">,</w:t>
      </w:r>
      <w:r>
        <w:t xml:space="preserve"> </w:t>
      </w:r>
      <w:r>
        <w:t xml:space="preserve">the</w:t>
      </w:r>
      <w:r>
        <w:t xml:space="preserve"> </w:t>
      </w:r>
      <w:r>
        <w:rPr>
          <w:rStyle w:val="VerbatimChar"/>
        </w:rPr>
        <w:t xml:space="preserve">.by</w:t>
      </w:r>
      <w:r>
        <w:t xml:space="preserve"> </w:t>
      </w:r>
      <w:r>
        <w:t xml:space="preserve">argument of</w:t>
      </w:r>
      <w:r>
        <w:t xml:space="preserve"> </w:t>
      </w:r>
      <w:r>
        <w:rPr>
          <w:rStyle w:val="VerbatimChar"/>
        </w:rPr>
        <w:t xml:space="preserve">mutate()</w:t>
      </w:r>
      <w:r>
        <w:t xml:space="preserve">/</w:t>
      </w:r>
      <w:r>
        <w:rPr>
          <w:rStyle w:val="VerbatimChar"/>
        </w:rPr>
        <w:t xml:space="preserve">summarize()</w:t>
      </w:r>
      <w:r>
        <w:t xml:space="preserve">,</w:t>
      </w:r>
      <w:r>
        <w:t xml:space="preserve"> </w:t>
      </w:r>
      <w:r>
        <w:t xml:space="preserve">and the</w:t>
      </w:r>
      <w:r>
        <w:t xml:space="preserve"> </w:t>
      </w:r>
      <w:r>
        <w:rPr>
          <w:rStyle w:val="VerbatimChar"/>
        </w:rPr>
        <w:t xml:space="preserve">cols</w:t>
      </w:r>
      <w:r>
        <w:t xml:space="preserve">,</w:t>
      </w:r>
      <w:r>
        <w:t xml:space="preserve"> </w:t>
      </w:r>
      <w:r>
        <w:rPr>
          <w:rStyle w:val="VerbatimChar"/>
        </w:rPr>
        <w:t xml:space="preserve">names_from</w:t>
      </w:r>
      <w:r>
        <w:t xml:space="preserve">,</w:t>
      </w:r>
      <w:r>
        <w:t xml:space="preserve"> </w:t>
      </w:r>
      <w:r>
        <w:rPr>
          <w:rStyle w:val="VerbatimChar"/>
        </w:rPr>
        <w:t xml:space="preserve">values_from</w:t>
      </w:r>
      <w:r>
        <w:t xml:space="preserve">, and</w:t>
      </w:r>
      <w:r>
        <w:t xml:space="preserve"> </w:t>
      </w:r>
      <w:r>
        <w:rPr>
          <w:rStyle w:val="VerbatimChar"/>
        </w:rPr>
        <w:t xml:space="preserve">id_cols</w:t>
      </w:r>
      <w:r>
        <w:t xml:space="preserve"> </w:t>
      </w:r>
      <w:r>
        <w:t xml:space="preserve">arguments of</w:t>
      </w:r>
      <w:r>
        <w:t xml:space="preserve"> </w:t>
      </w:r>
      <w:r>
        <w:rPr>
          <w:rStyle w:val="VerbatimChar"/>
        </w:rPr>
        <w:t xml:space="preserve">pivot_*()</w:t>
      </w:r>
      <w:r>
        <w:t xml:space="preserve"> </w:t>
      </w:r>
      <w:r>
        <w:t xml:space="preserve">in</w:t>
      </w:r>
      <w:r>
        <w:t xml:space="preserve"> </w:t>
      </w:r>
      <w:hyperlink r:id="rId19">
        <w:r>
          <w:rPr>
            <w:rStyle w:val="VerbatimChar"/>
          </w:rPr>
          <w:t xml:space="preserve">{tidyr}</w:t>
        </w:r>
      </w:hyperlink>
      <w:r>
        <w:t xml:space="preserve">.</w:t>
      </w:r>
    </w:p>
    <w:p>
      <w:pPr>
        <w:pStyle w:val="FirstParagraph"/>
      </w:pPr>
      <w:r>
        <w:t xml:space="preserve">To refer to a column named by a string variable,</w:t>
      </w:r>
      <w:r>
        <w:t xml:space="preserve"> </w:t>
      </w:r>
      <w:r>
        <w:t xml:space="preserve">use the tool that matches the context:</w:t>
      </w:r>
    </w:p>
    <w:tbl>
      <w:tblPr>
        <w:tblStyle w:val="Table"/>
        <w:tblW w:type="pct" w:w="5000"/>
        <w:tblLayout w:type="fixed"/>
        <w:tblLook w:firstRow="0" w:lastRow="0" w:firstColumn="0" w:lastColumn="0" w:noHBand="0" w:noVBand="0" w:val="0000"/>
      </w:tblPr>
      <w:tblGrid>
        <w:gridCol w:w="7920"/>
      </w:tblGrid>
      <w:tr>
        <w:tc>
          <w:tcPr/>
          <w:bookmarkStart w:id="20" w:name="tbl-masking-selection"/>
          <w:p>
            <w:pPr>
              <w:jc w:val="center"/>
            </w:pPr>
            <w:pPr>
              <w:jc w:val="left"/>
              <w:spacing w:before="200"/>
              <w:pStyle w:val="ImageCaption"/>
            </w:pPr>
            <w:r>
              <w:t xml:space="preserve">Table 1: Referring to a column named by a string variable</w:t>
            </w:r>
          </w:p>
          <w:tbl>
            <w:tblPr>
              <w:tblStyle w:val="Table"/>
              <w:tblW w:type="pct" w:w="5000"/>
              <w:tblLayout w:type="fixed"/>
              <w:tblLook w:firstRow="1" w:lastRow="0" w:firstColumn="0" w:lastColumn="0" w:noHBand="0" w:noVBand="0" w:val="0020"/>
            </w:tblPr>
            <w:tblGrid>
              <w:gridCol w:w="3394"/>
              <w:gridCol w:w="1885"/>
              <w:gridCol w:w="2640"/>
            </w:tblGrid>
            <w:tr>
              <w:trPr>
                <w:tblHeader w:val="on"/>
              </w:trPr>
              <w:tc>
                <w:tcPr/>
                <w:p>
                  <w:pPr>
                    <w:pStyle w:val="Compact"/>
                    <w:jc w:val="center"/>
                  </w:pPr>
                  <w:r>
                    <w:t xml:space="preserve">Context</w:t>
                  </w:r>
                </w:p>
              </w:tc>
              <w:tc>
                <w:tcPr/>
                <w:p>
                  <w:pPr>
                    <w:pStyle w:val="Compact"/>
                    <w:jc w:val="center"/>
                  </w:pPr>
                  <w:r>
                    <w:t xml:space="preserve">Use</w:t>
                  </w:r>
                </w:p>
              </w:tc>
              <w:tc>
                <w:tcPr/>
                <w:p>
                  <w:pPr>
                    <w:pStyle w:val="Compact"/>
                    <w:jc w:val="center"/>
                  </w:pPr>
                  <w:r>
                    <w:t xml:space="preserve">Avoid</w:t>
                  </w:r>
                </w:p>
              </w:tc>
            </w:tr>
            <w:tr>
              <w:tc>
                <w:tcPr/>
                <w:p>
                  <w:pPr>
                    <w:pStyle w:val="Compact"/>
                    <w:jc w:val="center"/>
                  </w:pPr>
                  <w:r>
                    <w:t xml:space="preserve">Data-masking</w:t>
                  </w:r>
                </w:p>
              </w:tc>
              <w:tc>
                <w:tcPr/>
                <w:p>
                  <w:pPr>
                    <w:pStyle w:val="Compact"/>
                    <w:jc w:val="center"/>
                  </w:pPr>
                  <w:r>
                    <w:rPr>
                      <w:rStyle w:val="VerbatimChar"/>
                    </w:rPr>
                    <w:t xml:space="preserve">!!sym(var)</w:t>
                  </w:r>
                  <w:r>
                    <w:t xml:space="preserve"> </w:t>
                  </w:r>
                  <w:r>
                    <w:t xml:space="preserve">or</w:t>
                  </w:r>
                  <w:r>
                    <w:t xml:space="preserve"> </w:t>
                  </w:r>
                  <w:r>
                    <w:rPr>
                      <w:rStyle w:val="VerbatimChar"/>
                    </w:rPr>
                    <w:t xml:space="preserve">.data[[var]]</w:t>
                  </w:r>
                </w:p>
              </w:tc>
              <w:tc>
                <w:tcPr/>
                <w:p>
                  <w:pPr>
                    <w:pStyle w:val="Compact"/>
                    <w:jc w:val="center"/>
                  </w:pPr>
                  <w:r>
                    <w:t xml:space="preserve">bare</w:t>
                  </w:r>
                  <w:r>
                    <w:t xml:space="preserve"> </w:t>
                  </w:r>
                  <w:r>
                    <w:rPr>
                      <w:rStyle w:val="VerbatimChar"/>
                    </w:rPr>
                    <w:t xml:space="preserve">var</w:t>
                  </w:r>
                  <w:r>
                    <w:t xml:space="preserve"> </w:t>
                  </w:r>
                  <w:r>
                    <w:t xml:space="preserve">(uses the string value itself, not the column it names)</w:t>
                  </w:r>
                </w:p>
              </w:tc>
            </w:tr>
            <w:tr>
              <w:tc>
                <w:tcPr/>
                <w:p>
                  <w:pPr>
                    <w:pStyle w:val="Compact"/>
                    <w:jc w:val="center"/>
                  </w:pPr>
                  <w:r>
                    <w:t xml:space="preserve">Tidy-selection</w:t>
                  </w:r>
                </w:p>
              </w:tc>
              <w:tc>
                <w:tcPr/>
                <w:p>
                  <w:pPr>
                    <w:pStyle w:val="Compact"/>
                    <w:jc w:val="center"/>
                  </w:pPr>
                  <w:r>
                    <w:rPr>
                      <w:rStyle w:val="VerbatimChar"/>
                    </w:rPr>
                    <w:t xml:space="preserve">all_of(var)</w:t>
                  </w:r>
                  <w:r>
                    <w:t xml:space="preserve"> </w:t>
                  </w:r>
                  <w:r>
                    <w:t xml:space="preserve">/</w:t>
                  </w:r>
                  <w:r>
                    <w:t xml:space="preserve"> </w:t>
                  </w:r>
                  <w:r>
                    <w:rPr>
                      <w:rStyle w:val="VerbatimChar"/>
                    </w:rPr>
                    <w:t xml:space="preserve">any_of(var)</w:t>
                  </w:r>
                </w:p>
              </w:tc>
              <w:tc>
                <w:tcPr/>
                <w:p>
                  <w:pPr>
                    <w:pStyle w:val="Compact"/>
                    <w:jc w:val="center"/>
                  </w:pPr>
                  <w:r>
                    <w:t xml:space="preserve">the</w:t>
                  </w:r>
                  <w:r>
                    <w:t xml:space="preserve"> </w:t>
                  </w:r>
                  <w:r>
                    <w:rPr>
                      <w:rStyle w:val="VerbatimChar"/>
                    </w:rPr>
                    <w:t xml:space="preserve">.data</w:t>
                  </w:r>
                  <w:r>
                    <w:t xml:space="preserve"> </w:t>
                  </w:r>
                  <w:r>
                    <w:t xml:space="preserve">pronoun (</w:t>
                  </w:r>
                  <w:r>
                    <w:rPr>
                      <w:rStyle w:val="VerbatimChar"/>
                    </w:rPr>
                    <w:t xml:space="preserve">.data[[var]]</w:t>
                  </w:r>
                  <w:r>
                    <w:t xml:space="preserve">,</w:t>
                  </w:r>
                  <w:r>
                    <w:t xml:space="preserve"> </w:t>
                  </w:r>
                  <w:r>
                    <w:rPr>
                      <w:rStyle w:val="VerbatimChar"/>
                    </w:rPr>
                    <w:t xml:space="preserve">.data$col</w:t>
                  </w:r>
                  <w:r>
                    <w:t xml:space="preserve">)</w:t>
                  </w:r>
                </w:p>
              </w:tc>
            </w:tr>
          </w:tbl>
          <w:bookmarkEnd w:id="20"/>
          <w:p/>
        </w:tc>
      </w:tr>
    </w:tbl>
    <w:p>
      <w:pPr>
        <w:pStyle w:val="BodyText"/>
      </w:pPr>
      <w:r>
        <w:t xml:space="preserve">Use</w:t>
      </w:r>
      <w:r>
        <w:t xml:space="preserve"> </w:t>
      </w:r>
      <w:r>
        <w:rPr>
          <w:rStyle w:val="VerbatimChar"/>
        </w:rPr>
        <w:t xml:space="preserve">all_of()</w:t>
      </w:r>
      <w:r>
        <w:t xml:space="preserve"> </w:t>
      </w:r>
      <w:r>
        <w:t xml:space="preserve">when every selected name must exist (it errors if one is missing)</w:t>
      </w:r>
      <w:r>
        <w:t xml:space="preserve"> </w:t>
      </w:r>
      <w:r>
        <w:t xml:space="preserve">and</w:t>
      </w:r>
      <w:r>
        <w:t xml:space="preserve"> </w:t>
      </w:r>
      <w:r>
        <w:rPr>
          <w:rStyle w:val="VerbatimChar"/>
        </w:rPr>
        <w:t xml:space="preserve">any_of()</w:t>
      </w:r>
      <w:r>
        <w:t xml:space="preserve"> </w:t>
      </w:r>
      <w:r>
        <w:t xml:space="preserve">when names that are absent should simply be dropped.</w:t>
      </w:r>
    </w:p>
    <w:bookmarkStart w:id="27" w:name="X118ff09008793bb586a8982fedb3eb2b41d1fc5"/>
    <w:p>
      <w:pPr>
        <w:pStyle w:val="Heading3"/>
      </w:pPr>
      <w:r>
        <w:t xml:space="preserve">2.1 The</w:t>
      </w:r>
      <w:r>
        <w:t xml:space="preserve"> </w:t>
      </w:r>
      <w:r>
        <w:rPr>
          <w:rStyle w:val="VerbatimChar"/>
        </w:rPr>
        <w:t xml:space="preserve">.data</w:t>
      </w:r>
      <w:r>
        <w:t xml:space="preserve"> </w:t>
      </w:r>
      <w:r>
        <w:t xml:space="preserve">pronoun does not belong in tidy selection</w:t>
      </w:r>
    </w:p>
    <w:p>
      <w:pPr>
        <w:pStyle w:val="FirstParagraph"/>
      </w:pPr>
      <w:r>
        <w:t xml:space="preserve">A common (and</w:t>
      </w:r>
      <w:r>
        <w:t xml:space="preserve"> </w:t>
      </w:r>
      <w:r>
        <w:rPr>
          <w:b/>
          <w:bCs/>
        </w:rPr>
        <w:t xml:space="preserve">silent</w:t>
      </w:r>
      <w:r>
        <w:t xml:space="preserve">) mistake is reaching for the</w:t>
      </w:r>
      <w:r>
        <w:t xml:space="preserve"> </w:t>
      </w:r>
      <w:r>
        <w:rPr>
          <w:rStyle w:val="VerbatimChar"/>
        </w:rPr>
        <w:t xml:space="preserve">.data</w:t>
      </w:r>
      <w:r>
        <w:t xml:space="preserve"> </w:t>
      </w:r>
      <w:r>
        <w:t xml:space="preserve">pronoun</w:t>
      </w:r>
      <w:r>
        <w:t xml:space="preserve"> </w:t>
      </w:r>
      <w:r>
        <w:t xml:space="preserve">inside a tidy-selection context:</w:t>
      </w:r>
    </w:p>
    <w:p>
      <w:pPr>
        <w:pStyle w:val="SourceCode"/>
      </w:pPr>
      <w:r>
        <w:rPr>
          <w:rStyle w:val="CommentTok"/>
        </w:rPr>
        <w:t xml:space="preserve"># Soft-deprecated: .data used in selection contexts</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(.data</w:t>
      </w:r>
      <w:r>
        <w:rPr>
          <w:rStyle w:val="SpecialCharTok"/>
        </w:rPr>
        <w:t xml:space="preserve">$</w:t>
      </w:r>
      <w:r>
        <w:rPr>
          <w:rStyle w:val="NormalTok"/>
        </w:rPr>
        <w:t xml:space="preserve">Subject, .data[[var]])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c</w:t>
      </w:r>
      <w:r>
        <w:rPr>
          <w:rStyle w:val="NormalTok"/>
        </w:rPr>
        <w:t xml:space="preserve">(.data</w:t>
      </w:r>
      <w:r>
        <w:rPr>
          <w:rStyle w:val="SpecialCharTok"/>
        </w:rPr>
        <w:t xml:space="preserve">$</w:t>
      </w:r>
      <w:r>
        <w:rPr>
          <w:rStyle w:val="NormalTok"/>
        </w:rPr>
        <w:t xml:space="preserve">group),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.data</w:t>
      </w:r>
      <w:r>
        <w:rPr>
          <w:rStyle w:val="SpecialCharTok"/>
        </w:rPr>
        <w:t xml:space="preserve">$</w:t>
      </w:r>
      <w:r>
        <w:rPr>
          <w:rStyle w:val="NormalTok"/>
        </w:rPr>
        <w:t xml:space="preserve">Parameter)</w:t>
      </w:r>
    </w:p>
    <w:p>
      <w:pPr>
        <w:pStyle w:val="FirstParagraph"/>
      </w:pPr>
      <w:r>
        <w:t xml:space="preserve">The</w:t>
      </w:r>
      <w:r>
        <w:t xml:space="preserve"> </w:t>
      </w:r>
      <w:r>
        <w:rPr>
          <w:rStyle w:val="VerbatimChar"/>
        </w:rPr>
        <w:t xml:space="preserve">.data</w:t>
      </w:r>
      <w:r>
        <w:t xml:space="preserve"> </w:t>
      </w:r>
      <w:r>
        <w:t xml:space="preserve">pronoun is a</w:t>
      </w:r>
      <w:r>
        <w:t xml:space="preserve"> </w:t>
      </w:r>
      <w:r>
        <w:rPr>
          <w:i/>
          <w:iCs/>
        </w:rPr>
        <w:t xml:space="preserve">data-masking</w:t>
      </w:r>
      <w:r>
        <w:t xml:space="preserve"> </w:t>
      </w:r>
      <w:r>
        <w:t xml:space="preserve">tool, not a selection tool.</w:t>
      </w:r>
      <w:r>
        <w:t xml:space="preserve"> </w:t>
      </w:r>
      <w:r>
        <w:t xml:space="preserve">Using it in a selection context was deprecated in</w:t>
      </w:r>
      <w:r>
        <w:t xml:space="preserve"> </w:t>
      </w:r>
      <w:hyperlink r:id="rId21">
        <w:r>
          <w:rPr>
            <w:rStyle w:val="VerbatimChar"/>
          </w:rPr>
          <w:t xml:space="preserve">{tidyselect}</w:t>
        </w:r>
      </w:hyperlink>
      <w:r>
        <w:t xml:space="preserve"> </w:t>
      </w:r>
      <w:r>
        <w:t xml:space="preserve">1.2.0</w:t>
      </w:r>
      <w:r>
        <w:t xml:space="preserve"> </w:t>
      </w:r>
      <w:r>
        <w:t xml:space="preserve">(</w:t>
      </w:r>
      <w:hyperlink r:id="rId22">
        <w:r>
          <w:rPr>
            <w:rStyle w:val="Hyperlink"/>
          </w:rPr>
          <w:t xml:space="preserve">release notes</w:t>
        </w:r>
      </w:hyperlink>
      <w:r>
        <w:t xml:space="preserve">),</w:t>
      </w:r>
      <w:r>
        <w:t xml:space="preserve"> </w:t>
      </w:r>
      <w:r>
        <w:t xml:space="preserve">but it is a</w:t>
      </w:r>
      <w:r>
        <w:t xml:space="preserve"> </w:t>
      </w:r>
      <w:r>
        <w:rPr>
          <w:b/>
          <w:bCs/>
        </w:rPr>
        <w:t xml:space="preserve">soft</w:t>
      </w:r>
      <w:r>
        <w:t xml:space="preserve"> </w:t>
      </w:r>
      <w:r>
        <w:t xml:space="preserve">deprecation,</w:t>
      </w:r>
      <w:r>
        <w:t xml:space="preserve"> </w:t>
      </w:r>
      <w:r>
        <w:t xml:space="preserve">signaled through</w:t>
      </w:r>
      <w:r>
        <w:t xml:space="preserve"> </w:t>
      </w:r>
      <w:hyperlink r:id="rId23">
        <w:r>
          <w:rPr>
            <w:rStyle w:val="VerbatimChar"/>
          </w:rPr>
          <w:t xml:space="preserve">{lifecycle}</w:t>
        </w:r>
      </w:hyperlink>
      <w:r>
        <w:t xml:space="preserve">.</w:t>
      </w:r>
      <w:r>
        <w:t xml:space="preserve"> </w:t>
      </w:r>
      <w:r>
        <w:t xml:space="preserve">Per the</w:t>
      </w:r>
      <w:r>
        <w:t xml:space="preserve"> </w:t>
      </w:r>
      <w:hyperlink r:id="rId24">
        <w:r>
          <w:rPr>
            <w:rStyle w:val="VerbatimChar"/>
          </w:rPr>
          <w:t xml:space="preserve">{lifecycle}</w:t>
        </w:r>
        <w:r>
          <w:rPr>
            <w:rStyle w:val="Hyperlink"/>
          </w:rPr>
          <w:t xml:space="preserve"> </w:t>
        </w:r>
        <w:r>
          <w:rPr>
            <w:rStyle w:val="Hyperlink"/>
          </w:rPr>
          <w:t xml:space="preserve">documentation</w:t>
        </w:r>
      </w:hyperlink>
      <w:r>
        <w:t xml:space="preserve">,</w:t>
      </w:r>
      <w:r>
        <w:t xml:space="preserve"> </w:t>
      </w:r>
      <w:r>
        <w:t xml:space="preserve">a soft-deprecated feature warns only users</w:t>
      </w:r>
      <w:r>
        <w:t xml:space="preserve"> </w:t>
      </w:r>
      <w:r>
        <w:t xml:space="preserve">who trigger it from the global environment</w:t>
      </w:r>
      <w:r>
        <w:t xml:space="preserve"> </w:t>
      </w:r>
      <w:r>
        <w:t xml:space="preserve">and developers who use it directly</w:t>
      </w:r>
      <w:r>
        <w:t xml:space="preserve"> </w:t>
      </w:r>
      <w:r>
        <w:t xml:space="preserve">(for example when running</w:t>
      </w:r>
      <w:r>
        <w:t xml:space="preserve"> </w:t>
      </w:r>
      <w:hyperlink r:id="rId25">
        <w:r>
          <w:rPr>
            <w:rStyle w:val="VerbatimChar"/>
          </w:rPr>
          <w:t xml:space="preserve">{testthat}</w:t>
        </w:r>
      </w:hyperlink>
      <w:r>
        <w:t xml:space="preserve"> </w:t>
      </w:r>
      <w:r>
        <w:t xml:space="preserve">tests);</w:t>
      </w:r>
      <w:r>
        <w:t xml:space="preserve"> </w:t>
      </w:r>
      <w:r>
        <w:t xml:space="preserve">there is</w:t>
      </w:r>
      <w:r>
        <w:t xml:space="preserve"> </w:t>
      </w:r>
      <w:r>
        <w:rPr>
          <w:i/>
          <w:iCs/>
        </w:rPr>
        <w:t xml:space="preserve">no warning when the deprecated feature</w:t>
      </w:r>
      <w:r>
        <w:rPr>
          <w:i/>
          <w:iCs/>
        </w:rPr>
        <w:t xml:space="preserve"> </w:t>
      </w:r>
      <w:r>
        <w:rPr>
          <w:i/>
          <w:iCs/>
        </w:rPr>
        <w:t xml:space="preserve">is called indirectly by another package</w:t>
      </w:r>
      <w:r>
        <w:t xml:space="preserve">.</w:t>
      </w:r>
      <w:r>
        <w:t xml:space="preserve"> </w:t>
      </w:r>
      <w:r>
        <w:t xml:space="preserve">So in installed-package code it usually emits</w:t>
      </w:r>
      <w:r>
        <w:t xml:space="preserve"> </w:t>
      </w:r>
      <w:r>
        <w:rPr>
          <w:i/>
          <w:iCs/>
        </w:rPr>
        <w:t xml:space="preserve">no warning at all</w:t>
      </w:r>
      <w:r>
        <w:t xml:space="preserve">,</w:t>
      </w:r>
      <w:r>
        <w:t xml:space="preserve"> </w:t>
      </w:r>
      <w:r>
        <w:t xml:space="preserve">and it slips past interactive use, CI, and code review unnoticed.</w:t>
      </w:r>
      <w:r>
        <w:t xml:space="preserve"> </w:t>
      </w:r>
      <w:r>
        <w:t xml:space="preserve">Rewrite these with</w:t>
      </w:r>
      <w:r>
        <w:t xml:space="preserve"> </w:t>
      </w:r>
      <w:r>
        <w:rPr>
          <w:rStyle w:val="VerbatimChar"/>
        </w:rPr>
        <w:t xml:space="preserve">all_of()</w:t>
      </w:r>
      <w:r>
        <w:t xml:space="preserve">/</w:t>
      </w:r>
      <w:r>
        <w:rPr>
          <w:rStyle w:val="VerbatimChar"/>
        </w:rPr>
        <w:t xml:space="preserve">any_of()</w:t>
      </w:r>
      <w:r>
        <w:t xml:space="preserve"> </w:t>
      </w:r>
      <w:r>
        <w:t xml:space="preserve">and plain strings:</w:t>
      </w:r>
    </w:p>
    <w:p>
      <w:pPr>
        <w:pStyle w:val="SourceCode"/>
      </w:pPr>
      <w:r>
        <w:rPr>
          <w:rStyle w:val="CommentTok"/>
        </w:rPr>
        <w:t xml:space="preserve"># Idiomatic tidy selection</w:t>
      </w:r>
      <w:r>
        <w:br/>
      </w:r>
      <w:r>
        <w:rPr>
          <w:rStyle w:val="NormalTok"/>
        </w:rPr>
        <w:t xml:space="preserve">df </w:t>
      </w:r>
      <w:r>
        <w:rPr>
          <w:rStyle w:val="SpecialCharTok"/>
        </w:rPr>
        <w:t xml:space="preserve">|&gt;</w:t>
      </w:r>
      <w:r>
        <w:rPr>
          <w:rStyle w:val="NormalTok"/>
        </w:rPr>
        <w:t xml:space="preserve"> </w:t>
      </w:r>
      <w:r>
        <w:rPr>
          <w:rStyle w:val="FunctionTok"/>
        </w:rPr>
        <w:t xml:space="preserve">select</w:t>
      </w:r>
      <w:r>
        <w:rPr>
          <w:rStyle w:val="NormalTok"/>
        </w:rPr>
        <w:t xml:space="preserve">(</w:t>
      </w:r>
      <w:r>
        <w:rPr>
          <w:rStyle w:val="FunctionTok"/>
        </w:rPr>
        <w:t xml:space="preserve">all_of</w:t>
      </w:r>
      <w:r>
        <w:rPr>
          <w:rStyle w:val="NormalTok"/>
        </w:rPr>
        <w:t xml:space="preserve">(</w:t>
      </w:r>
      <w:r>
        <w:rPr>
          <w:rStyle w:val="FunctionTok"/>
        </w:rPr>
        <w:t xml:space="preserve">c</w:t>
      </w:r>
      <w:r>
        <w:rPr>
          <w:rStyle w:val="NormalTok"/>
        </w:rPr>
        <w:t xml:space="preserve">(</w:t>
      </w:r>
      <w:r>
        <w:rPr>
          <w:rStyle w:val="StringTok"/>
        </w:rPr>
        <w:t xml:space="preserve">"Subject"</w:t>
      </w:r>
      <w:r>
        <w:rPr>
          <w:rStyle w:val="NormalTok"/>
        </w:rPr>
        <w:t xml:space="preserve">, var)))</w:t>
      </w:r>
      <w:r>
        <w:br/>
      </w:r>
      <w:r>
        <w:rPr>
          <w:rStyle w:val="NormalTok"/>
        </w:rPr>
        <w:t xml:space="preserve">df </w:t>
      </w:r>
      <w:r>
        <w:rPr>
          <w:rStyle w:val="SpecialCharTok"/>
        </w:rPr>
        <w:t xml:space="preserve">|&gt;</w:t>
      </w:r>
      <w:r>
        <w:rPr>
          <w:rStyle w:val="NormalTok"/>
        </w:rPr>
        <w:t xml:space="preserve"> </w:t>
      </w:r>
      <w:r>
        <w:rPr>
          <w:rStyle w:val="FunctionTok"/>
        </w:rPr>
        <w:t xml:space="preserve">summarize</w:t>
      </w:r>
      <w:r>
        <w:rPr>
          <w:rStyle w:val="NormalTok"/>
        </w:rPr>
        <w:t xml:space="preserve">(</w:t>
      </w:r>
      <w:r>
        <w:rPr>
          <w:rStyle w:val="AttributeTok"/>
        </w:rPr>
        <w:t xml:space="preserve">.by =</w:t>
      </w:r>
      <w:r>
        <w:rPr>
          <w:rStyle w:val="NormalTok"/>
        </w:rPr>
        <w:t xml:space="preserve"> </w:t>
      </w:r>
      <w:r>
        <w:rPr>
          <w:rStyle w:val="FunctionTok"/>
        </w:rPr>
        <w:t xml:space="preserve">all_of</w:t>
      </w:r>
      <w:r>
        <w:rPr>
          <w:rStyle w:val="NormalTok"/>
        </w:rPr>
        <w:t xml:space="preserve">(</w:t>
      </w:r>
      <w:r>
        <w:rPr>
          <w:rStyle w:val="StringTok"/>
        </w:rPr>
        <w:t xml:space="preserve">"group"</w:t>
      </w:r>
      <w:r>
        <w:rPr>
          <w:rStyle w:val="NormalTok"/>
        </w:rPr>
        <w:t xml:space="preserve">), </w:t>
      </w:r>
      <w:r>
        <w:rPr>
          <w:rStyle w:val="AttributeTok"/>
        </w:rPr>
        <w:t xml:space="preserve">med =</w:t>
      </w:r>
      <w:r>
        <w:rPr>
          <w:rStyle w:val="NormalTok"/>
        </w:rPr>
        <w:t xml:space="preserve"> </w:t>
      </w:r>
      <w:r>
        <w:rPr>
          <w:rStyle w:val="FunctionTok"/>
        </w:rPr>
        <w:t xml:space="preserve">median</w:t>
      </w:r>
      <w:r>
        <w:rPr>
          <w:rStyle w:val="NormalTok"/>
        </w:rPr>
        <w:t xml:space="preserve">(value))</w:t>
      </w:r>
      <w:r>
        <w:br/>
      </w:r>
      <w:r>
        <w:rPr>
          <w:rStyle w:val="NormalTok"/>
        </w:rPr>
        <w:t xml:space="preserve">df </w:t>
      </w:r>
      <w:r>
        <w:rPr>
          <w:rStyle w:val="SpecialCharTok"/>
        </w:rPr>
        <w:t xml:space="preserve">|&gt;</w:t>
      </w:r>
      <w:r>
        <w:rPr>
          <w:rStyle w:val="NormalTok"/>
        </w:rPr>
        <w:t xml:space="preserve"> tidyr</w:t>
      </w:r>
      <w:r>
        <w:rPr>
          <w:rStyle w:val="SpecialCharTok"/>
        </w:rPr>
        <w:t xml:space="preserve">::</w:t>
      </w:r>
      <w:r>
        <w:rPr>
          <w:rStyle w:val="FunctionTok"/>
        </w:rPr>
        <w:t xml:space="preserve">pivot_wider</w:t>
      </w:r>
      <w:r>
        <w:rPr>
          <w:rStyle w:val="NormalTok"/>
        </w:rPr>
        <w:t xml:space="preserve">(</w:t>
      </w:r>
      <w:r>
        <w:rPr>
          <w:rStyle w:val="AttributeTok"/>
        </w:rPr>
        <w:t xml:space="preserve">names_from =</w:t>
      </w:r>
      <w:r>
        <w:rPr>
          <w:rStyle w:val="NormalTok"/>
        </w:rPr>
        <w:t xml:space="preserve"> </w:t>
      </w:r>
      <w:r>
        <w:rPr>
          <w:rStyle w:val="StringTok"/>
        </w:rPr>
        <w:t xml:space="preserve">"Parameter"</w:t>
      </w:r>
      <w:r>
        <w:rPr>
          <w:rStyle w:val="NormalTok"/>
        </w:rPr>
        <w:t xml:space="preserve">)</w:t>
      </w:r>
    </w:p>
    <w:p>
      <w:pPr>
        <w:pStyle w:val="FirstParagraph"/>
      </w:pPr>
      <w:r>
        <w:t xml:space="preserve">To make this class of soft deprecation fail loudly,</w:t>
      </w:r>
      <w:r>
        <w:t xml:space="preserve"> </w:t>
      </w:r>
      <w:r>
        <w:t xml:space="preserve">set</w:t>
      </w:r>
      <w:r>
        <w:t xml:space="preserve"> </w:t>
      </w:r>
      <w:r>
        <w:rPr>
          <w:rStyle w:val="VerbatimChar"/>
        </w:rPr>
        <w:t xml:space="preserve">options(lifecycle_verbosity = "error")</w:t>
      </w:r>
      <w:r>
        <w:t xml:space="preserve"> </w:t>
      </w:r>
      <w:r>
        <w:t xml:space="preserve">in your tests</w:t>
      </w:r>
      <w:r>
        <w:t xml:space="preserve"> </w:t>
      </w:r>
      <w:r>
        <w:t xml:space="preserve">(for example in</w:t>
      </w:r>
      <w:r>
        <w:t xml:space="preserve"> </w:t>
      </w:r>
      <w:r>
        <w:rPr>
          <w:rStyle w:val="VerbatimChar"/>
        </w:rPr>
        <w:t xml:space="preserve">tests/testthat/setup.R</w:t>
      </w:r>
      <w:r>
        <w:t xml:space="preserve">).</w:t>
      </w:r>
      <w:r>
        <w:t xml:space="preserve"> </w:t>
      </w:r>
      <w:r>
        <w:t xml:space="preserve">This option promotes deprecation signals to errors</w:t>
      </w:r>
      <w:r>
        <w:t xml:space="preserve"> </w:t>
      </w:r>
      <w:r>
        <w:t xml:space="preserve">regardless of the soft-versus-warning distinction</w:t>
      </w:r>
      <w:r>
        <w:t xml:space="preserve"> </w:t>
      </w:r>
      <w:r>
        <w:t xml:space="preserve">(</w:t>
      </w:r>
      <w:hyperlink r:id="rId26">
        <w:r>
          <w:rPr>
            <w:rStyle w:val="VerbatimChar"/>
          </w:rPr>
          <w:t xml:space="preserve">{lifecycle}</w:t>
        </w:r>
        <w:r>
          <w:rPr>
            <w:rStyle w:val="Hyperlink"/>
          </w:rPr>
          <w:t xml:space="preserve"> </w:t>
        </w:r>
        <w:r>
          <w:rPr>
            <w:rStyle w:val="Hyperlink"/>
          </w:rPr>
          <w:t xml:space="preserve">reference</w:t>
        </w:r>
      </w:hyperlink>
      <w:r>
        <w:t xml:space="preserve">).</w:t>
      </w:r>
      <w:r>
        <w:t xml:space="preserve"> </w:t>
      </w:r>
      <w:r>
        <w:t xml:space="preserve">Plain</w:t>
      </w:r>
      <w:r>
        <w:t xml:space="preserve"> </w:t>
      </w:r>
      <w:r>
        <w:rPr>
          <w:rStyle w:val="VerbatimChar"/>
        </w:rPr>
        <w:t xml:space="preserve">options(warn = 2)</w:t>
      </w:r>
      <w:r>
        <w:t xml:space="preserve"> </w:t>
      </w:r>
      <w:r>
        <w:t xml:space="preserve">will</w:t>
      </w:r>
      <w:r>
        <w:t xml:space="preserve"> </w:t>
      </w:r>
      <w:r>
        <w:rPr>
          <w:i/>
          <w:iCs/>
        </w:rPr>
        <w:t xml:space="preserve">not</w:t>
      </w:r>
      <w:r>
        <w:t xml:space="preserve"> </w:t>
      </w:r>
      <w:r>
        <w:t xml:space="preserve">catch it,</w:t>
      </w:r>
      <w:r>
        <w:t xml:space="preserve"> </w:t>
      </w:r>
      <w:r>
        <w:t xml:space="preserve">because</w:t>
      </w:r>
      <w:r>
        <w:t xml:space="preserve"> </w:t>
      </w:r>
      <w:r>
        <w:rPr>
          <w:rStyle w:val="VerbatimChar"/>
        </w:rPr>
        <w:t xml:space="preserve">warn = 2</w:t>
      </w:r>
      <w:r>
        <w:t xml:space="preserve"> </w:t>
      </w:r>
      <w:r>
        <w:t xml:space="preserve">only converts warnings into errors</w:t>
      </w:r>
      <w:r>
        <w:t xml:space="preserve"> </w:t>
      </w:r>
      <w:r>
        <w:t xml:space="preserve">once a warning is actually signaled,</w:t>
      </w:r>
      <w:r>
        <w:t xml:space="preserve"> </w:t>
      </w:r>
      <w:r>
        <w:t xml:space="preserve">and for a soft deprecation in installed-package code</w:t>
      </w:r>
      <w:r>
        <w:t xml:space="preserve"> </w:t>
      </w:r>
      <w:r>
        <w:t xml:space="preserve">no warning is signaled in the first place.</w:t>
      </w:r>
    </w:p>
    <w:bookmarkEnd w:id="27"/>
    <w:bookmarkEnd w:id="28"/>
    <w:bookmarkStart w:id="30" w:name="sec-technical-overview"/>
    <w:p>
      <w:pPr>
        <w:pStyle w:val="Heading2"/>
      </w:pPr>
      <w:r>
        <w:t xml:space="preserve">3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9" w:name="example"/>
    <w:p>
      <w:pPr>
        <w:pStyle w:val="Heading3"/>
      </w:pPr>
      <w:r>
        <w:t xml:space="preserve">3.1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!!sym(rf)</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bookmarkEnd w:id="29"/>
    <w:bookmarkEnd w:id="3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_rels/footnotes.xml.rels><?xml version="1.0" encoding="UTF-8"?><Relationships xmlns="http://schemas.openxmlformats.org/package/2006/relationships"><Relationship Type="http://schemas.openxmlformats.org/officeDocument/2006/relationships/hyperlink" Id="rId17" Target="https://dplyr.tidyverse.org/" TargetMode="External" /><Relationship Type="http://schemas.openxmlformats.org/officeDocument/2006/relationships/hyperlink" Id="rId18" Target="https://ggplot2.tidyverse.org/" TargetMode="External" /><Relationship Type="http://schemas.openxmlformats.org/officeDocument/2006/relationships/hyperlink" Id="rId23" Target="https://lifecycle.r-lib.org/" TargetMode="External" /><Relationship Type="http://schemas.openxmlformats.org/officeDocument/2006/relationships/hyperlink" Id="rId24" Target="https://lifecycle.r-lib.org/articles/communicate.html" TargetMode="External" /><Relationship Type="http://schemas.openxmlformats.org/officeDocument/2006/relationships/hyperlink" Id="rId26" Target="https://lifecycle.r-lib.org/reference/deprecate_soft.html" TargetMode="External" /><Relationship Type="http://schemas.openxmlformats.org/officeDocument/2006/relationships/hyperlink" Id="rId25" Target="https://testthat.r-lib.org/" TargetMode="External" /><Relationship Type="http://schemas.openxmlformats.org/officeDocument/2006/relationships/hyperlink" Id="rId19" Target="https://tidyr.tidyverse.org/" TargetMode="External" /><Relationship Type="http://schemas.openxmlformats.org/officeDocument/2006/relationships/hyperlink" Id="rId21" Target="https://tidyselect.r-lib.org/" TargetMode="External" /><Relationship Type="http://schemas.openxmlformats.org/officeDocument/2006/relationships/hyperlink" Id="rId16" Target="https://www.tidyverse.org/" TargetMode="External" /><Relationship Type="http://schemas.openxmlformats.org/officeDocument/2006/relationships/hyperlink" Id="rId22" Target="https://www.tidyverse.org/blog/2022/10/tidyselect-1-2-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masking</dc:title>
  <dc:creator/>
  <cp:keywords/>
  <dcterms:created xsi:type="dcterms:W3CDTF">2026-10-14T09:10:47Z</dcterms:created>
  <dcterms:modified xsi:type="dcterms:W3CDTF">2026-10-14T09:10:47Z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02:06:18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