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r>
        <w:t xml:space="preserve">Last modified: 2026-10-24 22:08:46 (PDT)</w:t>
      </w:r>
    </w:p>
    <w:bookmarkStart w:id="11" w:name="sec-the-data-table-package"/>
    <w:p>
      <w:pPr>
        <w:pStyle w:val="Heading2"/>
      </w:pPr>
      <w:r>
        <w:t xml:space="preserve">1 The data.table package</w:t>
      </w:r>
    </w:p>
    <w:p>
      <w:pPr>
        <w:pStyle w:val="FirstParagraph"/>
      </w:pPr>
      <w:r>
        <w:t xml:space="preserve">It may also be the case that you’re working with very large datasets.</w:t>
      </w:r>
      <w:r>
        <w:t xml:space="preserve"> </w:t>
      </w:r>
      <w:r>
        <w:t xml:space="preserve">Generally I would define this as 10+ million rows.</w:t>
      </w:r>
      <w:r>
        <w:t xml:space="preserve"> </w:t>
      </w:r>
      <w:r>
        <w:t xml:space="preserve">As is outlined in this document, the 3 main players in the data analysis space are Base R,</w:t>
      </w:r>
      <w:r>
        <w:t xml:space="preserve"> </w:t>
      </w:r>
      <w:r>
        <w:rPr>
          <w:rStyle w:val="VerbatimChar"/>
        </w:rPr>
        <w:t xml:space="preserve">tidyverse</w:t>
      </w:r>
      <w:r>
        <w:t xml:space="preserve"> </w:t>
      </w:r>
      <w:r>
        <w:t xml:space="preserve">(more specifically,</w:t>
      </w:r>
      <w:r>
        <w:t xml:space="preserve"> </w:t>
      </w:r>
      <w:r>
        <w:rPr>
          <w:rStyle w:val="VerbatimChar"/>
        </w:rPr>
        <w:t xml:space="preserve">dplyr</w:t>
      </w:r>
      <w:r>
        <w:t xml:space="preserve">), and</w:t>
      </w:r>
      <w:r>
        <w:t xml:space="preserve"> </w:t>
      </w:r>
      <w:r>
        <w:rPr>
          <w:rStyle w:val="VerbatimChar"/>
        </w:rPr>
        <w:t xml:space="preserve">data.table</w:t>
      </w:r>
      <w:r>
        <w:t xml:space="preserve">.</w:t>
      </w:r>
      <w:r>
        <w:t xml:space="preserve"> </w:t>
      </w:r>
      <w:r>
        <w:t xml:space="preserve">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w:t>
      </w:r>
      <w:r>
        <w:t xml:space="preserve"> </w:t>
      </w:r>
      <w:r>
        <w:t xml:space="preserve">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 Overflow post</w:t>
        </w:r>
      </w:hyperlink>
      <w:r>
        <w:t xml:space="preserve"> </w:t>
      </w:r>
      <w:r>
        <w:t xml:space="preserve">and all 3 answers are worth a read.</w:t>
      </w:r>
    </w:p>
    <w:p>
      <w:pPr>
        <w:pStyle w:val="BodyText"/>
      </w:pPr>
      <w:r>
        <w:t xml:space="preserve">You can also get much of</w:t>
      </w:r>
      <w:r>
        <w:t xml:space="preserve"> </w:t>
      </w:r>
      <w:r>
        <w:rPr>
          <w:rStyle w:val="VerbatimChar"/>
        </w:rPr>
        <w:t xml:space="preserve">data.table</w:t>
      </w:r>
      <w:r>
        <w:t xml:space="preserve">’s speed while keeping</w:t>
      </w:r>
      <w:r>
        <w:t xml:space="preserve"> </w:t>
      </w:r>
      <w:r>
        <w:rPr>
          <w:rStyle w:val="VerbatimChar"/>
        </w:rPr>
        <w:t xml:space="preserve">dplyr</w:t>
      </w:r>
      <w:r>
        <w:t xml:space="preserve"> </w:t>
      </w:r>
      <w:r>
        <w:t xml:space="preserve">syntax, which I find to be the best of both worlds.</w:t>
      </w:r>
      <w:r>
        <w:t xml:space="preserve"> </w:t>
      </w:r>
      <w:hyperlink r:id="rId10">
        <w:r>
          <w:rPr>
            <w:rStyle w:val="VerbatimChar"/>
          </w:rPr>
          <w:t xml:space="preserve">{dtplyr}</w:t>
        </w:r>
      </w:hyperlink>
      <w:r>
        <w:t xml:space="preserve"> </w:t>
      </w:r>
      <w:r>
        <w:t xml:space="preserve">provides a</w:t>
      </w:r>
      <w:r>
        <w:t xml:space="preserve"> </w:t>
      </w:r>
      <w:r>
        <w:rPr>
          <w:rStyle w:val="VerbatimChar"/>
        </w:rPr>
        <w:t xml:space="preserve">data.table</w:t>
      </w:r>
      <w:r>
        <w:t xml:space="preserve"> </w:t>
      </w:r>
      <w:r>
        <w:t xml:space="preserve">backend for</w:t>
      </w:r>
      <w:r>
        <w:t xml:space="preserve"> </w:t>
      </w:r>
      <w:r>
        <w:rPr>
          <w:rStyle w:val="VerbatimChar"/>
        </w:rPr>
        <w:t xml:space="preserve">dplyr</w:t>
      </w:r>
      <w:r>
        <w:t xml:space="preserve">:</w:t>
      </w:r>
      <w:r>
        <w:t xml:space="preserve"> </w:t>
      </w:r>
      <w:r>
        <w:t xml:space="preserve">wrap any data frame with</w:t>
      </w:r>
      <w:r>
        <w:t xml:space="preserve"> </w:t>
      </w:r>
      <w:r>
        <w:rPr>
          <w:rStyle w:val="VerbatimChar"/>
        </w:rPr>
        <w:t xml:space="preserve">dtplyr::lazy_dt()</w:t>
      </w:r>
      <w:r>
        <w:t xml:space="preserve">, and</w:t>
      </w:r>
      <w:r>
        <w:t xml:space="preserve"> </w:t>
      </w:r>
      <w:r>
        <w:rPr>
          <w:rStyle w:val="VerbatimChar"/>
        </w:rPr>
        <w:t xml:space="preserve">dplyr</w:t>
      </w:r>
      <w:r>
        <w:t xml:space="preserve"> </w:t>
      </w:r>
      <w:r>
        <w:t xml:space="preserve">verbs are translated into</w:t>
      </w:r>
      <w:r>
        <w:t xml:space="preserve"> </w:t>
      </w:r>
      <w:r>
        <w:rPr>
          <w:rStyle w:val="VerbatimChar"/>
        </w:rPr>
        <w:t xml:space="preserve">data.table</w:t>
      </w:r>
      <w:r>
        <w:t xml:space="preserve"> </w:t>
      </w:r>
      <w:r>
        <w:t xml:space="preserve">code.</w:t>
      </w:r>
      <w:r>
        <w:t xml:space="preserve"> </w:t>
      </w:r>
      <w:r>
        <w:t xml:space="preserve">Running</w:t>
      </w:r>
      <w:r>
        <w:t xml:space="preserve"> </w:t>
      </w:r>
      <w:r>
        <w:rPr>
          <w:rStyle w:val="VerbatimChar"/>
        </w:rPr>
        <w:t xml:space="preserve">dplyr</w:t>
      </w:r>
      <w:r>
        <w:t xml:space="preserve"> </w:t>
      </w:r>
      <w:r>
        <w:t xml:space="preserve">verbs on a plain</w:t>
      </w:r>
      <w:r>
        <w:t xml:space="preserve"> </w:t>
      </w:r>
      <w:r>
        <w:rPr>
          <w:rStyle w:val="VerbatimChar"/>
        </w:rPr>
        <w:t xml:space="preserve">data.table</w:t>
      </w:r>
      <w:r>
        <w:t xml:space="preserve"> </w:t>
      </w:r>
      <w:r>
        <w:t xml:space="preserve">(for example, one made with</w:t>
      </w:r>
      <w:r>
        <w:t xml:space="preserve"> </w:t>
      </w:r>
      <w:r>
        <w:rPr>
          <w:rStyle w:val="VerbatimChar"/>
        </w:rPr>
        <w:t xml:space="preserve">as.data.table()</w:t>
      </w:r>
      <w:r>
        <w:t xml:space="preserve">) does not do this translation.</w:t>
      </w:r>
      <w:r>
        <w:t xml:space="preserve"> </w:t>
      </w:r>
      <w:r>
        <w:t xml:space="preserve">A</w:t>
      </w:r>
      <w:r>
        <w:t xml:space="preserve"> </w:t>
      </w:r>
      <w:r>
        <w:rPr>
          <w:rStyle w:val="VerbatimChar"/>
        </w:rPr>
        <w:t xml:space="preserve">lazy_dt()</w:t>
      </w:r>
      <w:r>
        <w:t xml:space="preserve"> </w:t>
      </w:r>
      <w:r>
        <w:t xml:space="preserve">pipeline is lazy: nothing runs until you collect the result with</w:t>
      </w:r>
      <w:r>
        <w:t xml:space="preserve"> </w:t>
      </w:r>
      <w:r>
        <w:rPr>
          <w:rStyle w:val="VerbatimChar"/>
        </w:rPr>
        <w:t xml:space="preserve">as_tibble()</w:t>
      </w:r>
      <w:r>
        <w:t xml:space="preserve">,</w:t>
      </w:r>
      <w:r>
        <w:t xml:space="preserve"> </w:t>
      </w:r>
      <w:r>
        <w:rPr>
          <w:rStyle w:val="VerbatimChar"/>
        </w:rPr>
        <w:t xml:space="preserve">as.data.table()</w:t>
      </w:r>
      <w:r>
        <w:t xml:space="preserve">, or</w:t>
      </w:r>
      <w:r>
        <w:t xml:space="preserve"> </w:t>
      </w:r>
      <w:r>
        <w:rPr>
          <w:rStyle w:val="VerbatimChar"/>
        </w:rPr>
        <w:t xml:space="preserve">collect()</w:t>
      </w:r>
      <w:r>
        <w:t xml:space="preserve">.</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1"/>
    <w:bookmarkStart w:id="12"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2"/>
    <w:bookmarkStart w:id="13"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dtplyr.tidyverse.org/" TargetMode="External" /><Relationship Type="http://schemas.openxmlformats.org/officeDocument/2006/relationships/hyperlink" Id="rId9" Target="https://stackoverflow.com/questions/21435339/data-table-vs-dplyr-can-one-do-something-well-the-other-cant-or-does-poorly/27840349#27840349" TargetMode="External" /></Relationships>
</file>

<file path=word/_rels/footnotes.xml.rels><?xml version="1.0" encoding="UTF-8"?><Relationships xmlns="http://schemas.openxmlformats.org/package/2006/relationships"><Relationship Type="http://schemas.openxmlformats.org/officeDocument/2006/relationships/hyperlink" Id="rId10" Target="https://dtplyr.tidyverse.org/" TargetMode="External" /><Relationship Type="http://schemas.openxmlformats.org/officeDocument/2006/relationships/hyperlink" Id="rId9" Target="https://stackoverflow.com/questions/21435339/data-table-vs-dplyr-can-one-do-something-well-the-other-cant-or-does-poorly/27840349#278403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2026-10-25T05:10:58Z</dcterms:created>
  <dcterms:modified xsi:type="dcterms:W3CDTF">2026-10-25T05:10:58Z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2026-10-24 22:08:46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