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9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r>
        <w:t xml:space="preserve">Last modified: 2026-10-26 21:41:24 (PDT)</w:t>
      </w:r>
    </w:p>
    <w:p>
      <w:pPr>
        <w:pStyle w:val="FirstParagraph"/>
      </w:pPr>
      <w:bookmarkStart w:id="9" w:name="sec-r-code-style"/>
      <w:bookmarkEnd w:id="9"/>
    </w:p>
    <w:p>
      <w:pPr>
        <w:pStyle w:val="BodyText"/>
      </w:pPr>
      <w:r>
        <w:t xml:space="preserve">Follow these code style guidelines for all R code:</w:t>
      </w:r>
    </w:p>
    <w:bookmarkStart w:id="14" w:name="sec-general-principles"/>
    <w:p>
      <w:pPr>
        <w:pStyle w:val="Heading2"/>
      </w:pPr>
      <w:r>
        <w:t xml:space="preserve">1 General Principles</w:t>
      </w:r>
    </w:p>
    <w:p>
      <w:pPr>
        <w:pStyle w:val="FirstParagraph"/>
      </w:pPr>
      <w:r>
        <w:t xml:space="preserve">We recommend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This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can be enforced automatically with a</w:t>
      </w:r>
      <w:r>
        <w:t xml:space="preserve"> </w:t>
      </w:r>
      <w:r>
        <w:rPr>
          <w:rStyle w:val="VerbatimChar"/>
        </w:rPr>
        <w:t xml:space="preserve">.lintr.R</w:t>
      </w:r>
      <w:r>
        <w:t xml:space="preserve"> </w:t>
      </w:r>
      <w:r>
        <w:t xml:space="preserve">configuration file;</w:t>
      </w:r>
      <w:r>
        <w:t xml:space="preserve"> </w:t>
      </w:r>
      <w:r>
        <w:t xml:space="preserve">see the UCD-SERG lab manual’s</w:t>
      </w:r>
      <w:r>
        <w:t xml:space="preserve"> </w:t>
      </w:r>
      <w:hyperlink r:id="rId13">
        <w:r>
          <w:rPr>
            <w:rStyle w:val="Hyperlink"/>
          </w:rPr>
          <w:t xml:space="preserve">example</w:t>
        </w:r>
      </w:hyperlink>
      <w:r>
        <w:t xml:space="preserv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The example</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older code,</w:t>
      </w:r>
      <w:r>
        <w:t xml:space="preserve"> </w:t>
      </w:r>
      <w:r>
        <w:t xml:space="preserve">but we still recommend explicit returns in new code.</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3" w:name="sec-avoid-nesting"/>
    <w:p>
      <w:pPr>
        <w:pStyle w:val="Heading2"/>
      </w:pPr>
      <w:r>
        <w:t xml:space="preserve">5 Avoiding Deep Nesting</w:t>
      </w:r>
    </w:p>
    <w:p>
      <w:pPr>
        <w:pStyle w:val="FirstParagraph"/>
      </w:pPr>
      <w:r>
        <w:t xml:space="preserve">When writing code, do not nest function calls.</w:t>
      </w:r>
      <w:r>
        <w:t xml:space="preserve"> </w:t>
      </w:r>
      <w:r>
        <w:t xml:space="preserve">Where feasible, also avoid nested function definitions:</w:t>
      </w:r>
    </w:p>
    <w:p>
      <w:pPr>
        <w:pStyle w:val="Compact"/>
        <w:numPr>
          <w:ilvl w:val="0"/>
          <w:numId w:val="1010"/>
        </w:numPr>
      </w:pPr>
      <w:r>
        <w:t xml:space="preserve">Do not pass one function call’s result straight into another call,</w:t>
      </w:r>
      <w:r>
        <w:t xml:space="preserve"> </w:t>
      </w:r>
      <w:r>
        <w:t xml:space="preserve">as in</w:t>
      </w:r>
      <w:r>
        <w:t xml:space="preserve"> </w:t>
      </w:r>
      <w:r>
        <w:rPr>
          <w:rStyle w:val="VerbatimChar"/>
        </w:rPr>
        <w:t xml:space="preserve">f(g(h(x)))</w:t>
      </w:r>
      <w:r>
        <w:t xml:space="preserve">.</w:t>
      </w:r>
      <w:r>
        <w:t xml:space="preserve"> </w:t>
      </w:r>
      <w:r>
        <w:t xml:space="preserve">Give each intermediate result a name,</w:t>
      </w:r>
      <w:r>
        <w:t xml:space="preserve"> </w:t>
      </w:r>
      <w:r>
        <w:t xml:space="preserve">or chain the steps with a pipe (</w:t>
      </w:r>
      <w:r>
        <w:rPr>
          <w:rStyle w:val="VerbatimChar"/>
        </w:rPr>
        <w:t xml:space="preserve">|&gt;</w:t>
      </w:r>
      <w:r>
        <w:t xml:space="preserve"> </w:t>
      </w:r>
      <w:r>
        <w:t xml:space="preserve">in R);</w:t>
      </w:r>
      <w:r>
        <w:t xml:space="preserve"> </w:t>
      </w:r>
      <w:r>
        <w:t xml:space="preserve">pipes are fine.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The nested-call rule is a policy, not a default:</w:t>
      </w:r>
      <w:r>
        <w:t xml:space="preserve"> </w:t>
      </w:r>
      <w:r>
        <w:t xml:space="preserve">a nested call is a code-review finding.</w:t>
      </w:r>
      <w:r>
        <w:t xml:space="preserve"> </w:t>
      </w:r>
      <w:r>
        <w:t xml:space="preserve">It covers a call whose result is a value handed to the outer call as an argument.</w:t>
      </w:r>
      <w:r>
        <w:t xml:space="preserve"> </w:t>
      </w:r>
      <w:r>
        <w:t xml:space="preserve">It does not cover the steps of a pipe chain,</w:t>
      </w:r>
      <w:r>
        <w:t xml:space="preserve"> </w:t>
      </w:r>
      <w:r>
        <w:t xml:space="preserve">which already name their order,</w:t>
      </w:r>
      <w:r>
        <w:t xml:space="preserve"> </w:t>
      </w:r>
      <w:r>
        <w:t xml:space="preserve">nor an argument the outer function captures and interprets itself,</w:t>
      </w:r>
      <w:r>
        <w:t xml:space="preserve"> </w:t>
      </w:r>
      <w:r>
        <w:t xml:space="preserve">as in these examples, which are not a closed list:</w:t>
      </w:r>
      <w:r>
        <w:t xml:space="preserve"> </w:t>
      </w:r>
      <w:hyperlink r:id="rId37">
        <w:r>
          <w:rPr>
            <w:rStyle w:val="VerbatimChar"/>
          </w:rPr>
          <w:t xml:space="preserve">{tidyselect}</w:t>
        </w:r>
      </w:hyperlink>
      <w:r>
        <w:t xml:space="preserve"> </w:t>
      </w:r>
      <w:r>
        <w:t xml:space="preserve">helpers (</w:t>
      </w:r>
      <w:r>
        <w:rPr>
          <w:rStyle w:val="VerbatimChar"/>
        </w:rPr>
        <w:t xml:space="preserve">all_of()</w:t>
      </w:r>
      <w:r>
        <w:t xml:space="preserve">,</w:t>
      </w:r>
      <w:r>
        <w:t xml:space="preserve"> </w:t>
      </w:r>
      <w:r>
        <w:rPr>
          <w:rStyle w:val="VerbatimChar"/>
        </w:rPr>
        <w:t xml:space="preserve">any_of()</w:t>
      </w:r>
      <w:r>
        <w:t xml:space="preserve">,</w:t>
      </w:r>
      <w:r>
        <w:t xml:space="preserve"> </w:t>
      </w:r>
      <w:r>
        <w:rPr>
          <w:rStyle w:val="VerbatimChar"/>
        </w:rPr>
        <w:t xml:space="preserve">starts_with()</w:t>
      </w:r>
      <w:r>
        <w:t xml:space="preserve">),</w:t>
      </w:r>
      <w:r>
        <w:t xml:space="preserve"> </w:t>
      </w:r>
      <w:r>
        <w:t xml:space="preserve">data-masked expressions inside data-masking verbs such as</w:t>
      </w:r>
      <w:r>
        <w:t xml:space="preserve"> </w:t>
      </w:r>
      <w:r>
        <w:rPr>
          <w:rStyle w:val="VerbatimChar"/>
        </w:rPr>
        <w:t xml:space="preserve">mutate()</w:t>
      </w:r>
      <w:r>
        <w:t xml:space="preserve">,</w:t>
      </w:r>
      <w:r>
        <w:t xml:space="preserve"> </w:t>
      </w:r>
      <w:r>
        <w:rPr>
          <w:rStyle w:val="VerbatimChar"/>
        </w:rPr>
        <w:t xml:space="preserve">filter()</w:t>
      </w:r>
      <w:r>
        <w:t xml:space="preserve">, or</w:t>
      </w:r>
      <w:r>
        <w:t xml:space="preserve"> </w:t>
      </w:r>
      <w:r>
        <w:rPr>
          <w:rStyle w:val="VerbatimChar"/>
        </w:rPr>
        <w:t xml:space="preserve">summarise()</w:t>
      </w:r>
      <w:r>
        <w:t xml:space="preserve">,</w:t>
      </w:r>
      <w:r>
        <w:t xml:space="preserve"> </w:t>
      </w:r>
      <w:r>
        <w:rPr>
          <w:rStyle w:val="VerbatimChar"/>
        </w:rPr>
        <w:t xml:space="preserve">aes()</w:t>
      </w:r>
      <w:r>
        <w:t xml:space="preserve"> </w:t>
      </w:r>
      <w:r>
        <w:t xml:space="preserve">mappings, and formulas.</w:t>
      </w:r>
      <w:r>
        <w:t xml:space="preserve"> </w:t>
      </w:r>
      <w:r>
        <w:t xml:space="preserve">Those are part of the outer call’s own syntax,</w:t>
      </w:r>
      <w:r>
        <w:t xml:space="preserve"> </w:t>
      </w:r>
      <w:r>
        <w:t xml:space="preserve">and pulling them out would break or obscure it.</w:t>
      </w:r>
      <w:r>
        <w:t xml:space="preserve"> </w:t>
      </w:r>
      <w:r>
        <w:t xml:space="preserve">The exemption stops at the captured argument itself.</w:t>
      </w:r>
      <w:r>
        <w:t xml:space="preserve"> </w:t>
      </w:r>
      <w:r>
        <w:t xml:space="preserve">In</w:t>
      </w:r>
      <w:r>
        <w:t xml:space="preserve"> </w:t>
      </w:r>
      <w:r>
        <w:rPr>
          <w:rStyle w:val="VerbatimChar"/>
        </w:rPr>
        <w:t xml:space="preserve">select(df, all_of(names(x)))</w:t>
      </w:r>
      <w:r>
        <w:t xml:space="preserve">,</w:t>
      </w:r>
      <w:r>
        <w:t xml:space="preserve"> </w:t>
      </w:r>
      <w:r>
        <w:rPr>
          <w:rStyle w:val="VerbatimChar"/>
        </w:rPr>
        <w:t xml:space="preserve">select()</w:t>
      </w:r>
      <w:r>
        <w:t xml:space="preserve"> </w:t>
      </w:r>
      <w:r>
        <w:t xml:space="preserve">captures</w:t>
      </w:r>
      <w:r>
        <w:t xml:space="preserve"> </w:t>
      </w:r>
      <w:r>
        <w:rPr>
          <w:rStyle w:val="VerbatimChar"/>
        </w:rPr>
        <w:t xml:space="preserve">all_of()</w:t>
      </w:r>
      <w:r>
        <w:t xml:space="preserve">,</w:t>
      </w:r>
      <w:r>
        <w:t xml:space="preserve"> </w:t>
      </w:r>
      <w:r>
        <w:t xml:space="preserve">but</w:t>
      </w:r>
      <w:r>
        <w:t xml:space="preserve"> </w:t>
      </w:r>
      <w:r>
        <w:rPr>
          <w:rStyle w:val="VerbatimChar"/>
        </w:rPr>
        <w:t xml:space="preserve">all_of()</w:t>
      </w:r>
      <w:r>
        <w:t xml:space="preserve"> </w:t>
      </w:r>
      <w:r>
        <w:t xml:space="preserve">evaluates</w:t>
      </w:r>
      <w:r>
        <w:t xml:space="preserve"> </w:t>
      </w:r>
      <w:r>
        <w:rPr>
          <w:rStyle w:val="VerbatimChar"/>
        </w:rPr>
        <w:t xml:space="preserve">names(x)</w:t>
      </w:r>
      <w:r>
        <w:t xml:space="preserve"> </w:t>
      </w:r>
      <w:r>
        <w:t xml:space="preserve">as an ordinary value,</w:t>
      </w:r>
      <w:r>
        <w:t xml:space="preserve"> </w:t>
      </w:r>
      <w:r>
        <w:t xml:space="preserve">so that inner call still gets a name:</w:t>
      </w:r>
    </w:p>
    <w:p>
      <w:pPr>
        <w:pStyle w:val="SourceCode"/>
      </w:pPr>
      <w:r>
        <w:rPr>
          <w:rStyle w:val="NormalTok"/>
        </w:rPr>
        <w:t xml:space="preserve">keep_cols </w:t>
      </w:r>
      <w:r>
        <w:rPr>
          <w:rStyle w:val="OtherTok"/>
        </w:rPr>
        <w:t xml:space="preserve">&lt;-</w:t>
      </w:r>
      <w:r>
        <w:rPr>
          <w:rStyle w:val="NormalTok"/>
        </w:rPr>
        <w:t xml:space="preserve"> </w:t>
      </w:r>
      <w:r>
        <w:rPr>
          <w:rStyle w:val="FunctionTok"/>
        </w:rPr>
        <w:t xml:space="preserve">names</w:t>
      </w:r>
      <w:r>
        <w:rPr>
          <w:rStyle w:val="NormalTok"/>
        </w:rPr>
        <w:t xml:space="preserve">(x)</w:t>
      </w:r>
      <w:r>
        <w:br/>
      </w:r>
      <w:r>
        <w:rPr>
          <w:rStyle w:val="FunctionTok"/>
        </w:rPr>
        <w:t xml:space="preserve">select</w:t>
      </w:r>
      <w:r>
        <w:rPr>
          <w:rStyle w:val="NormalTok"/>
        </w:rPr>
        <w:t xml:space="preserve">(df, </w:t>
      </w:r>
      <w:r>
        <w:rPr>
          <w:rStyle w:val="FunctionTok"/>
        </w:rPr>
        <w:t xml:space="preserve">all_of</w:t>
      </w:r>
      <w:r>
        <w:rPr>
          <w:rStyle w:val="NormalTok"/>
        </w:rPr>
        <w:t xml:space="preserve">(keep_cols))</w:t>
      </w:r>
    </w:p>
    <w:p>
      <w:pPr>
        <w:pStyle w:val="FirstParagraph"/>
      </w:pPr>
      <w:r>
        <w:t xml:space="preserve">The nested-definition rule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9" w:name="sec-precompute-conditions"/>
    <w:p>
      <w:pPr>
        <w:pStyle w:val="Heading3"/>
      </w:pPr>
      <w:r>
        <w:t xml:space="preserve">5.1 Name</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conditions before testing them</w:t>
      </w:r>
    </w:p>
    <w:p>
      <w:pPr>
        <w:pStyle w:val="FirstParagraph"/>
      </w:pPr>
      <w:r>
        <w:t xml:space="preserve">Compute every</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 ahead of the test:</w:t>
      </w:r>
      <w:r>
        <w:t xml:space="preserve"> </w:t>
      </w:r>
      <w:r>
        <w:t xml:space="preserve">assign it to a named logical variable first,</w:t>
      </w:r>
      <w:r>
        <w:t xml:space="preserve"> </w:t>
      </w:r>
      <w:r>
        <w:t xml:space="preserve">then test that name,</w:t>
      </w:r>
      <w:r>
        <w:t xml:space="preserve"> </w:t>
      </w:r>
      <w:r>
        <w:t xml:space="preserve">so the condition inside the parentheses is always a bare name</w:t>
      </w:r>
      <w:r>
        <w:t xml:space="preserve"> </w:t>
      </w:r>
      <w:r>
        <w:t xml:space="preserve">(or a literal, as in</w:t>
      </w:r>
      <w:r>
        <w:t xml:space="preserve"> </w:t>
      </w:r>
      <w:r>
        <w:rPr>
          <w:rStyle w:val="VerbatimChar"/>
        </w:rPr>
        <w:t xml:space="preserve">while (TRUE)</w:t>
      </w:r>
      <w:r>
        <w:t xml:space="preserve">).</w:t>
      </w:r>
      <w:r>
        <w:t xml:space="preserve"> </w:t>
      </w:r>
      <w:r>
        <w:t xml:space="preserve">This holds even for a condition with no nested call,</w:t>
      </w:r>
      <w:r>
        <w:t xml:space="preserve"> </w:t>
      </w:r>
      <w:r>
        <w:t xml:space="preserve">such as</w:t>
      </w:r>
      <w:r>
        <w:t xml:space="preserve"> </w:t>
      </w:r>
      <w:r>
        <w:rPr>
          <w:rStyle w:val="VerbatimChar"/>
        </w:rPr>
        <w:t xml:space="preserve">is.na(strat)</w:t>
      </w:r>
      <w:r>
        <w:t xml:space="preserve"> </w:t>
      </w:r>
      <w:r>
        <w:t xml:space="preserve">or a single comparison like</w:t>
      </w:r>
      <w:r>
        <w:t xml:space="preserve"> </w:t>
      </w:r>
      <w:r>
        <w:rPr>
          <w:rStyle w:val="VerbatimChar"/>
        </w:rPr>
        <w:t xml:space="preserve">x &gt; 0</w:t>
      </w:r>
      <w:r>
        <w:t xml:space="preserve">,</w:t>
      </w:r>
      <w:r>
        <w:t xml:space="preserve"> </w:t>
      </w:r>
      <w:r>
        <w:t xml:space="preserve">because the name is what documents the test.</w:t>
      </w:r>
    </w:p>
    <w:p>
      <w:pPr>
        <w:pStyle w:val="SourceCode"/>
      </w:pPr>
      <w:r>
        <w:rPr>
          <w:rStyle w:val="CommentTok"/>
        </w:rPr>
        <w:t xml:space="preserve"># Good: the name states what the test means</w:t>
      </w:r>
      <w:r>
        <w:br/>
      </w:r>
      <w:r>
        <w:rPr>
          <w:rStyle w:val="NormalTok"/>
        </w:rPr>
        <w:t xml:space="preserve">n_plots </w:t>
      </w:r>
      <w:r>
        <w:rPr>
          <w:rStyle w:val="OtherTok"/>
        </w:rPr>
        <w:t xml:space="preserve">&lt;-</w:t>
      </w:r>
      <w:r>
        <w:rPr>
          <w:rStyle w:val="NormalTok"/>
        </w:rPr>
        <w:t xml:space="preserve"> trace_strat_list </w:t>
      </w:r>
      <w:r>
        <w:rPr>
          <w:rStyle w:val="SpecialCharTok"/>
        </w:rPr>
        <w:t xml:space="preserve">|&gt;</w:t>
      </w:r>
      <w:r>
        <w:rPr>
          <w:rStyle w:val="NormalTok"/>
        </w:rPr>
        <w:t xml:space="preserve"> </w:t>
      </w:r>
      <w:r>
        <w:rPr>
          <w:rStyle w:val="FunctionTok"/>
        </w:rPr>
        <w:t xml:space="preserve">lengths</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w:t>
      </w:r>
      <w:r>
        <w:br/>
      </w:r>
      <w:r>
        <w:rPr>
          <w:rStyle w:val="NormalTok"/>
        </w:rPr>
        <w:t xml:space="preserve">single_plot </w:t>
      </w:r>
      <w:r>
        <w:rPr>
          <w:rStyle w:val="OtherTok"/>
        </w:rPr>
        <w:t xml:space="preserve">&lt;-</w:t>
      </w:r>
      <w:r>
        <w:rPr>
          <w:rStyle w:val="NormalTok"/>
        </w:rPr>
        <w:t xml:space="preserve"> n_plots </w:t>
      </w:r>
      <w:r>
        <w:rPr>
          <w:rStyle w:val="SpecialCharTok"/>
        </w:rPr>
        <w:t xml:space="preserve">==</w:t>
      </w:r>
      <w:r>
        <w:rPr>
          <w:rStyle w:val="NormalTok"/>
        </w:rPr>
        <w:t xml:space="preserve"> </w:t>
      </w:r>
      <w:r>
        <w:rPr>
          <w:rStyle w:val="DecValTok"/>
        </w:rPr>
        <w:t xml:space="preserve">1</w:t>
      </w:r>
      <w:r>
        <w:br/>
      </w:r>
      <w:r>
        <w:rPr>
          <w:rStyle w:val="ControlFlowTok"/>
        </w:rPr>
        <w:t xml:space="preserve">if</w:t>
      </w:r>
      <w:r>
        <w:rPr>
          <w:rStyle w:val="NormalTok"/>
        </w:rPr>
        <w:t xml:space="preserve"> (single_plot) {</w:t>
      </w:r>
      <w:r>
        <w:br/>
      </w:r>
      <w:r>
        <w:rPr>
          <w:rStyle w:val="NormalTok"/>
        </w:rPr>
        <w:t xml:space="preserve">  </w:t>
      </w:r>
      <w:r>
        <w:rPr>
          <w:rStyle w:val="CommentTok"/>
        </w:rPr>
        <w:t xml:space="preserve"># ...</w:t>
      </w:r>
      <w:r>
        <w:br/>
      </w:r>
      <w:r>
        <w:rPr>
          <w:rStyle w:val="NormalTok"/>
        </w:rPr>
        <w:t xml:space="preserve">}</w:t>
      </w:r>
      <w:r>
        <w:br/>
      </w:r>
      <w:r>
        <w:br/>
      </w:r>
      <w:r>
        <w:rPr>
          <w:rStyle w:val="CommentTok"/>
        </w:rPr>
        <w:t xml:space="preserve"># Avoid: the inline expression hides a misplaced parenthesis</w:t>
      </w:r>
      <w:r>
        <w:br/>
      </w:r>
      <w:r>
        <w:rPr>
          <w:rStyle w:val="ControlFlowTok"/>
        </w:rPr>
        <w:t xml:space="preserve">if</w:t>
      </w:r>
      <w:r>
        <w:rPr>
          <w:rStyle w:val="NormalTok"/>
        </w:rPr>
        <w:t xml:space="preserve"> (</w:t>
      </w:r>
      <w:r>
        <w:rPr>
          <w:rStyle w:val="FunctionTok"/>
        </w:rPr>
        <w:t xml:space="preserve">sum</w:t>
      </w:r>
      <w:r>
        <w:rPr>
          <w:rStyle w:val="NormalTok"/>
        </w:rPr>
        <w:t xml:space="preserve">(</w:t>
      </w:r>
      <w:r>
        <w:rPr>
          <w:rStyle w:val="FunctionTok"/>
        </w:rPr>
        <w:t xml:space="preserve">lengths</w:t>
      </w:r>
      <w:r>
        <w:rPr>
          <w:rStyle w:val="NormalTok"/>
        </w:rPr>
        <w:t xml:space="preserve">(trace_strat_list)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mmentTok"/>
        </w:rPr>
        <w:t xml:space="preserve"># ...</w:t>
      </w:r>
      <w:r>
        <w:br/>
      </w:r>
      <w:r>
        <w:rPr>
          <w:rStyle w:val="NormalTok"/>
        </w:rPr>
        <w:t xml:space="preserve">}</w:t>
      </w:r>
    </w:p>
    <w:p>
      <w:pPr>
        <w:pStyle w:val="FirstParagraph"/>
      </w:pPr>
      <w:r>
        <w:t xml:space="preserve">For a</w:t>
      </w:r>
      <w:r>
        <w:t xml:space="preserve"> </w:t>
      </w:r>
      <w:r>
        <w:rPr>
          <w:rStyle w:val="VerbatimChar"/>
        </w:rPr>
        <w:t xml:space="preserve">while()</w:t>
      </w:r>
      <w:r>
        <w:t xml:space="preserve"> </w:t>
      </w:r>
      <w:r>
        <w:t xml:space="preserve">loop,</w:t>
      </w:r>
      <w:r>
        <w:t xml:space="preserve"> </w:t>
      </w:r>
      <w:r>
        <w:t xml:space="preserve">compute the named condition before the loop</w:t>
      </w:r>
      <w:r>
        <w:t xml:space="preserve"> </w:t>
      </w:r>
      <w:r>
        <w:t xml:space="preserve">and recompute it at the end of the loop body.</w:t>
      </w:r>
    </w:p>
    <w:p>
      <w:pPr>
        <w:pStyle w:val="BodyText"/>
      </w:pPr>
      <w:r>
        <w:t xml:space="preserve">The inline form above was a real bug,</w:t>
      </w:r>
      <w:r>
        <w:t xml:space="preserve"> </w:t>
      </w:r>
      <w:r>
        <w:t xml:space="preserve">fixed in</w:t>
      </w:r>
      <w:r>
        <w:t xml:space="preserve"> </w:t>
      </w:r>
      <w:hyperlink r:id="rId38">
        <w:r>
          <w:rPr>
            <w:rStyle w:val="VerbatimChar"/>
          </w:rPr>
          <w:t xml:space="preserve">{serodynamics}</w:t>
        </w:r>
        <w:r>
          <w:rPr>
            <w:rStyle w:val="Hyperlink"/>
          </w:rPr>
          <w:t xml:space="preserve"> </w:t>
        </w:r>
        <w:r>
          <w:rPr>
            <w:rStyle w:val="Hyperlink"/>
          </w:rPr>
          <w:t xml:space="preserve">PR #326</w:t>
        </w:r>
      </w:hyperlink>
      <w:r>
        <w:t xml:space="preserve">.</w:t>
      </w:r>
      <w:r>
        <w:t xml:space="preserve"> </w:t>
      </w:r>
      <w:r>
        <w:rPr>
          <w:rStyle w:val="VerbatimChar"/>
        </w:rPr>
        <w:t xml:space="preserve">sum(lengths(x) == 1)</w:t>
      </w:r>
      <w:r>
        <w:t xml:space="preserve"> </w:t>
      </w:r>
      <w:r>
        <w:t xml:space="preserve">counts the strata that hold exactly one plot,</w:t>
      </w:r>
      <w:r>
        <w:t xml:space="preserve"> </w:t>
      </w:r>
      <w:r>
        <w:t xml:space="preserve">so the single-plot branch ran whenever any stratum held one plot,</w:t>
      </w:r>
      <w:r>
        <w:t xml:space="preserve"> </w:t>
      </w:r>
      <w:r>
        <w:t xml:space="preserve">not only when the whole result was one plot.</w:t>
      </w:r>
      <w:r>
        <w:t xml:space="preserve"> </w:t>
      </w:r>
      <w:r>
        <w:t xml:space="preserve">Splitting the condition into named steps makes the author say what each step should mean (</w:t>
      </w:r>
      <w:r>
        <w:rPr>
          <w:rStyle w:val="VerbatimChar"/>
        </w:rPr>
        <w:t xml:space="preserve">n_plots</w:t>
      </w:r>
      <w:r>
        <w:t xml:space="preserve">, then</w:t>
      </w:r>
      <w:r>
        <w:t xml:space="preserve"> </w:t>
      </w:r>
      <w:r>
        <w:rPr>
          <w:rStyle w:val="VerbatimChar"/>
        </w:rPr>
        <w:t xml:space="preserve">single_plot</w:t>
      </w:r>
      <w:r>
        <w:t xml:space="preserve">),</w:t>
      </w:r>
      <w:r>
        <w:t xml:space="preserve"> </w:t>
      </w:r>
      <w:r>
        <w:t xml:space="preserve">which puts the comparison on its own line where a misplaced parenthesis is visible in review,</w:t>
      </w:r>
      <w:r>
        <w:t xml:space="preserve"> </w:t>
      </w:r>
      <w:r>
        <w:t xml:space="preserve">and the named value can be inspected in a debugger before the branch runs.</w:t>
      </w:r>
    </w:p>
    <w:bookmarkEnd w:id="39"/>
    <w:bookmarkStart w:id="41" w:name="Xe498262ae6be61f401e18dbcc7cafd360e15ce1"/>
    <w:p>
      <w:pPr>
        <w:pStyle w:val="Heading3"/>
      </w:pPr>
      <w:r>
        <w:t xml:space="preserve">5.2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
    <w:bookmarkStart w:id="42" w:name="lambdas-in-map-and-apply-family-calls"/>
    <w:p>
      <w:pPr>
        <w:pStyle w:val="Heading3"/>
      </w:pPr>
      <w:r>
        <w:t xml:space="preserve">5.3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2"/>
    <w:bookmarkEnd w:id="43"/>
    <w:bookmarkStart w:id="44"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packages your own group maintains</w:t>
      </w:r>
      <w:r>
        <w:t xml:space="preserve"> </w:t>
      </w:r>
      <w:r>
        <w:t xml:space="preserve">(for the Morrison Lab, 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your own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4"/>
    <w:bookmarkStart w:id="46"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6"/>
    <w:bookmarkStart w:id="51"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9"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7"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7"/>
    <w:bookmarkStart w:id="48"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8"/>
    <w:bookmarkEnd w:id="49"/>
    <w:bookmarkStart w:id="50"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50"/>
    <w:bookmarkEnd w:id="51"/>
    <w:bookmarkStart w:id="52"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52"/>
    <w:bookmarkStart w:id="58"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8"/>
    <w:bookmarkStart w:id="63" w:name="sec-line-breaks-and-formatting"/>
    <w:p>
      <w:pPr>
        <w:pStyle w:val="Heading2"/>
      </w:pPr>
      <w:r>
        <w:t xml:space="preserve">11 Line Breaks and Formatting</w:t>
      </w:r>
    </w:p>
    <w:bookmarkStart w:id="59"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9"/>
    <w:bookmarkStart w:id="61"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60">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61"/>
    <w:bookmarkStart w:id="62"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62"/>
    <w:bookmarkEnd w:id="63"/>
    <w:bookmarkStart w:id="66" w:name="sec-markdown-and-quarto-formatting"/>
    <w:p>
      <w:pPr>
        <w:pStyle w:val="Heading2"/>
      </w:pPr>
      <w:r>
        <w:t xml:space="preserve">12 Markdown and Quarto Formatting</w:t>
      </w:r>
    </w:p>
    <w:bookmarkStart w:id="65"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5"/>
    <w:bookmarkEnd w:id="66"/>
    <w:bookmarkStart w:id="68" w:name="sec-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7"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7"/>
    <w:bookmarkEnd w:id="68"/>
    <w:bookmarkStart w:id="70"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9">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70"/>
    <w:bookmarkStart w:id="72"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str_subset</w:t>
      </w:r>
      <w:r>
        <w:rPr>
          <w:rStyle w:val="NormalTok"/>
        </w:rPr>
        <w:t xml:space="preserve">()      </w:t>
      </w:r>
      <w:r>
        <w:rPr>
          <w:rStyle w:val="CommentTok"/>
        </w:rPr>
        <w:t xml:space="preserve"># instead of grep(value = TRUE)</w:t>
      </w:r>
      <w:r>
        <w:br/>
      </w:r>
      <w:r>
        <w:rPr>
          <w:rStyle w:val="NormalTok"/>
        </w:rPr>
        <w:t xml:space="preserve">stringr</w:t>
      </w:r>
      <w:r>
        <w:rPr>
          <w:rStyle w:val="SpecialCharTok"/>
        </w:rPr>
        <w:t xml:space="preserve">::</w:t>
      </w:r>
      <w:r>
        <w:rPr>
          <w:rStyle w:val="FunctionTok"/>
        </w:rPr>
        <w:t xml:space="preserve">str_replace_all</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r:id="rId71">
        <w:r>
          <w:rPr>
            <w:rStyle w:val="Hyperlink"/>
          </w:rPr>
          <w:t xml:space="preserve">Tidyverse</w:t>
        </w:r>
      </w:hyperlink>
      <w:r>
        <w:t xml:space="preserve">.</w:t>
      </w:r>
    </w:p>
    <w:bookmarkEnd w:id="72"/>
    <w:bookmarkStart w:id="76"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3">
        <w:r>
          <w:rPr>
            <w:rStyle w:val="Hyperlink"/>
          </w:rPr>
          <w:t xml:space="preserve">here package vignette</w:t>
        </w:r>
      </w:hyperlink>
      <w:r>
        <w:t xml:space="preserve">.</w:t>
      </w:r>
    </w:p>
    <w:bookmarkStart w:id="75"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4">
        <w:r>
          <w:rPr>
            <w:rStyle w:val="Hyperlink"/>
            <w:i/>
            <w:iCs/>
          </w:rPr>
          <w:t xml:space="preserve">The here package</w:t>
        </w:r>
      </w:hyperlink>
      <w:r>
        <w:rPr>
          <w:i/>
          <w:iCs/>
        </w:rPr>
        <w:t xml:space="preserve"> </w:t>
      </w:r>
      <w:r>
        <w:rPr>
          <w:i/>
          <w:iCs/>
        </w:rPr>
        <w:t xml:space="preserve">for detailed explanation of the here package.</w:t>
      </w:r>
    </w:p>
    <w:bookmarkEnd w:id="75"/>
    <w:bookmarkEnd w:id="76"/>
    <w:bookmarkStart w:id="85"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the example</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Give each object one lasting name.</w:t>
      </w:r>
      <w:r>
        <w:t xml:space="preserve"> </w:t>
      </w:r>
      <w:r>
        <w:t xml:space="preserve">Use an alias to shorten a name inside one piece of code,</w:t>
      </w:r>
      <w:r>
        <w:t xml:space="preserve"> </w:t>
      </w:r>
      <w:r>
        <w:t xml:space="preserve">but avoid creating a synonym.</w:t>
      </w:r>
      <w:r>
        <w:t xml:space="preserve"> </w:t>
      </w:r>
      <w:hyperlink r:id="rId81">
        <w:r>
          <w:rPr>
            <w:rStyle w:val="Hyperlink"/>
          </w:rPr>
          <w:t xml:space="preserve">GeeksforGeeks compares aliases and synonyms in SQL</w:t>
        </w:r>
      </w:hyperlink>
      <w:r>
        <w:t xml:space="preserve">:</w:t>
      </w:r>
    </w:p>
    <w:p>
      <w:pPr>
        <w:pStyle w:val="Compact"/>
        <w:numPr>
          <w:ilvl w:val="0"/>
          <w:numId w:val="1030"/>
        </w:numPr>
      </w:pPr>
      <w:r>
        <w:t xml:space="preserve">An</w:t>
      </w:r>
      <w:r>
        <w:t xml:space="preserve"> </w:t>
      </w:r>
      <w:r>
        <w:rPr>
          <w:b/>
          <w:bCs/>
        </w:rPr>
        <w:t xml:space="preserve">alias</w:t>
      </w:r>
      <w:r>
        <w:t xml:space="preserve"> </w:t>
      </w:r>
      <w:r>
        <w:t xml:space="preserve">is a second name that lasts only within one scope.</w:t>
      </w:r>
      <w:r>
        <w:t xml:space="preserve"> </w:t>
      </w:r>
      <w:r>
        <w:t xml:space="preserve">In SQL,</w:t>
      </w:r>
      <w:r>
        <w:t xml:space="preserve"> </w:t>
      </w:r>
      <w:r>
        <w:rPr>
          <w:rStyle w:val="VerbatimChar"/>
        </w:rPr>
        <w:t xml:space="preserve">SELECT pat.id AS patient_id FROM patients pat</w:t>
      </w:r>
      <w:r>
        <w:t xml:space="preserve"> </w:t>
      </w:r>
      <w:r>
        <w:t xml:space="preserve">names the table</w:t>
      </w:r>
      <w:r>
        <w:t xml:space="preserve"> </w:t>
      </w:r>
      <w:r>
        <w:rPr>
          <w:rStyle w:val="VerbatimChar"/>
        </w:rPr>
        <w:t xml:space="preserve">pat</w:t>
      </w:r>
      <w:r>
        <w:t xml:space="preserve"> </w:t>
      </w:r>
      <w:r>
        <w:t xml:space="preserve">and the column</w:t>
      </w:r>
      <w:r>
        <w:t xml:space="preserve"> </w:t>
      </w:r>
      <w:r>
        <w:rPr>
          <w:rStyle w:val="VerbatimChar"/>
        </w:rPr>
        <w:t xml:space="preserve">patient_id</w:t>
      </w:r>
      <w:r>
        <w:t xml:space="preserve"> </w:t>
      </w:r>
      <w:r>
        <w:t xml:space="preserve">for that query only.</w:t>
      </w:r>
      <w:r>
        <w:t xml:space="preserve"> </w:t>
      </w:r>
      <w:r>
        <w:rPr>
          <w:rStyle w:val="VerbatimChar"/>
        </w:rPr>
        <w:t xml:space="preserve">import pandas as pd</w:t>
      </w:r>
      <w:r>
        <w:t xml:space="preserve"> </w:t>
      </w:r>
      <w:r>
        <w:t xml:space="preserve">in Python names the module</w:t>
      </w:r>
      <w:r>
        <w:t xml:space="preserve"> </w:t>
      </w:r>
      <w:r>
        <w:rPr>
          <w:rStyle w:val="VerbatimChar"/>
        </w:rPr>
        <w:t xml:space="preserve">pd</w:t>
      </w:r>
      <w:r>
        <w:t xml:space="preserve"> </w:t>
      </w:r>
      <w:r>
        <w:t xml:space="preserve">for one file.</w:t>
      </w:r>
    </w:p>
    <w:p>
      <w:pPr>
        <w:pStyle w:val="Compact"/>
        <w:numPr>
          <w:ilvl w:val="0"/>
          <w:numId w:val="1030"/>
        </w:numPr>
      </w:pPr>
      <w:r>
        <w:t xml:space="preserve">A</w:t>
      </w:r>
      <w:r>
        <w:t xml:space="preserve"> </w:t>
      </w:r>
      <w:r>
        <w:rPr>
          <w:b/>
          <w:bCs/>
        </w:rPr>
        <w:t xml:space="preserve">synonym</w:t>
      </w:r>
      <w:r>
        <w:t xml:space="preserve"> </w:t>
      </w:r>
      <w:r>
        <w:t xml:space="preserve">is a second name that is stored,</w:t>
      </w:r>
      <w:r>
        <w:t xml:space="preserve"> </w:t>
      </w:r>
      <w:r>
        <w:t xml:space="preserve">so it lasts until someone removes it.</w:t>
      </w:r>
      <w:r>
        <w:t xml:space="preserve"> </w:t>
      </w:r>
      <w:r>
        <w:t xml:space="preserve">Some databases, such as Oracle and SQL Server, provide</w:t>
      </w:r>
      <w:r>
        <w:t xml:space="preserve"> </w:t>
      </w:r>
      <w:r>
        <w:rPr>
          <w:rStyle w:val="VerbatimChar"/>
        </w:rPr>
        <w:t xml:space="preserve">CREATE SYNONYM</w:t>
      </w:r>
      <w:r>
        <w:t xml:space="preserve">,</w:t>
      </w:r>
      <w:r>
        <w:t xml:space="preserve"> </w:t>
      </w:r>
      <w:r>
        <w:t xml:space="preserve">which stores a name that points to another object</w:t>
      </w:r>
      <w:r>
        <w:t xml:space="preserve"> </w:t>
      </w:r>
      <w:r>
        <w:t xml:space="preserve">(</w:t>
      </w:r>
      <w:hyperlink r:id="rId82">
        <w:r>
          <w:rPr>
            <w:rStyle w:val="Hyperlink"/>
          </w:rPr>
          <w:t xml:space="preserve">Oracle documentation</w:t>
        </w:r>
      </w:hyperlink>
      <w:r>
        <w:t xml:space="preserve">).</w:t>
      </w:r>
      <w:r>
        <w:t xml:space="preserve"> </w:t>
      </w:r>
      <w:r>
        <w:t xml:space="preserve">PostgreSQL and MySQL do not have this command.</w:t>
      </w:r>
    </w:p>
    <w:p>
      <w:pPr>
        <w:pStyle w:val="FirstParagraph"/>
      </w:pPr>
      <w:r>
        <w:t xml:space="preserve">Keep an alias recognizable, such as</w:t>
      </w:r>
      <w:r>
        <w:t xml:space="preserve"> </w:t>
      </w:r>
      <w:r>
        <w:rPr>
          <w:rStyle w:val="VerbatimChar"/>
        </w:rPr>
        <w:t xml:space="preserve">pat</w:t>
      </w:r>
      <w:r>
        <w:t xml:space="preserve"> </w:t>
      </w:r>
      <w:r>
        <w:t xml:space="preserve">rather than</w:t>
      </w:r>
      <w:r>
        <w:t xml:space="preserve"> </w:t>
      </w:r>
      <w:r>
        <w:rPr>
          <w:rStyle w:val="VerbatimChar"/>
        </w:rPr>
        <w:t xml:space="preserve">p</w:t>
      </w:r>
      <w:r>
        <w:t xml:space="preserve">,</w:t>
      </w:r>
      <w:r>
        <w:t xml:space="preserve"> </w:t>
      </w:r>
      <w:r>
        <w:t xml:space="preserve">since the descriptive-name advice at the top of this section still applies.</w:t>
      </w:r>
      <w:r>
        <w:t xml:space="preserve"> </w:t>
      </w:r>
      <w:r>
        <w:t xml:space="preserve">A synonym in your own code makes readers look for a difference between the two names.</w:t>
      </w:r>
    </w:p>
    <w:p>
      <w:pPr>
        <w:pStyle w:val="BodyText"/>
      </w:pPr>
      <w:r>
        <w:t xml:space="preserve">An R package has one common exception.</w:t>
      </w:r>
      <w:r>
        <w:t xml:space="preserve"> </w:t>
      </w:r>
      <w:r>
        <w:t xml:space="preserve">When you rename an exported function,</w:t>
      </w:r>
      <w:r>
        <w:t xml:space="preserve"> </w:t>
      </w:r>
      <w:r>
        <w:t xml:space="preserve">keep the old name for a while as a wrapper so that existing code still runs,</w:t>
      </w:r>
      <w:r>
        <w:t xml:space="preserve"> </w:t>
      </w:r>
      <w:r>
        <w:t xml:space="preserve">and mark it as deprecated with</w:t>
      </w:r>
      <w:r>
        <w:t xml:space="preserve"> </w:t>
      </w:r>
      <w:hyperlink r:id="rId83">
        <w:r>
          <w:rPr>
            <w:rStyle w:val="VerbatimChar"/>
          </w:rPr>
          <w:t xml:space="preserve">{lifecycle}</w:t>
        </w:r>
      </w:hyperlink>
      <w:r>
        <w:t xml:space="preserve">:</w:t>
      </w:r>
    </w:p>
    <w:p>
      <w:pPr>
        <w:pStyle w:val="SourceCode"/>
      </w:pPr>
      <w:r>
        <w:rPr>
          <w:rStyle w:val="CommentTok"/>
        </w:rPr>
        <w:t xml:space="preserve"># Keep the old name only as a deprecated wrapper</w:t>
      </w:r>
      <w:r>
        <w:br/>
      </w:r>
      <w:r>
        <w:rPr>
          <w:rStyle w:val="NormalTok"/>
        </w:rPr>
        <w:t xml:space="preserve">prep_data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br/>
      </w:r>
      <w:r>
        <w:rPr>
          <w:rStyle w:val="NormalTok"/>
        </w:rPr>
        <w:t xml:space="preserve">  lifecycle</w:t>
      </w:r>
      <w:r>
        <w:rPr>
          <w:rStyle w:val="SpecialCharTok"/>
        </w:rPr>
        <w:t xml:space="preserve">::</w:t>
      </w:r>
      <w:r>
        <w:rPr>
          <w:rStyle w:val="FunctionTok"/>
        </w:rPr>
        <w:t xml:space="preserve">deprecate_warn</w:t>
      </w:r>
      <w:r>
        <w:rPr>
          <w:rStyle w:val="NormalTok"/>
        </w:rPr>
        <w:t xml:space="preserve">(</w:t>
      </w:r>
      <w:r>
        <w:rPr>
          <w:rStyle w:val="StringTok"/>
        </w:rPr>
        <w:t xml:space="preserve">"1.2.0"</w:t>
      </w:r>
      <w:r>
        <w:rPr>
          <w:rStyle w:val="NormalTok"/>
        </w:rPr>
        <w:t xml:space="preserve">, </w:t>
      </w:r>
      <w:r>
        <w:rPr>
          <w:rStyle w:val="StringTok"/>
        </w:rPr>
        <w:t xml:space="preserve">"prep_data()"</w:t>
      </w:r>
      <w:r>
        <w:rPr>
          <w:rStyle w:val="NormalTok"/>
        </w:rPr>
        <w:t xml:space="preserve">, </w:t>
      </w:r>
      <w:r>
        <w:rPr>
          <w:rStyle w:val="StringTok"/>
        </w:rPr>
        <w:t xml:space="preserve">"prep_study_data()"</w:t>
      </w:r>
      <w:r>
        <w:rPr>
          <w:rStyle w:val="NormalTok"/>
        </w:rPr>
        <w:t xml:space="preserve">)</w:t>
      </w:r>
      <w:r>
        <w:br/>
      </w:r>
      <w:r>
        <w:rPr>
          <w:rStyle w:val="NormalTok"/>
        </w:rPr>
        <w:t xml:space="preserve">  </w:t>
      </w:r>
      <w:r>
        <w:rPr>
          <w:rStyle w:val="FunctionTok"/>
        </w:rPr>
        <w:t xml:space="preserve">prep_study_data</w:t>
      </w:r>
      <w:r>
        <w:rPr>
          <w:rStyle w:val="NormalTok"/>
        </w:rPr>
        <w:t xml:space="preserve">(raw_data)</w:t>
      </w:r>
      <w:r>
        <w:br/>
      </w:r>
      <w:r>
        <w:rPr>
          <w:rStyle w:val="NormalTok"/>
        </w:rPr>
        <w:t xml:space="preserve">}</w:t>
      </w:r>
    </w:p>
    <w:p>
      <w:r>
        <w:pict>
          <v:rect style="width:0;height:1.5pt" o:hralign="center" o:hrstd="t" o:hr="t"/>
        </w:pict>
      </w:r>
    </w:p>
    <w:p>
      <w:pPr>
        <w:pStyle w:val="FirstParagraph"/>
      </w:pPr>
      <w:r>
        <w:t xml:space="preserve">For more help, check out</w:t>
      </w:r>
      <w:r>
        <w:t xml:space="preserve"> </w:t>
      </w:r>
      <w:hyperlink r:id="rId84">
        <w:r>
          <w:rPr>
            <w:rStyle w:val="Hyperlink"/>
          </w:rPr>
          <w:t xml:space="preserve">Be Expressive: How to Give Your Variables Better Names</w:t>
        </w:r>
      </w:hyperlink>
    </w:p>
    <w:bookmarkEnd w:id="85"/>
    <w:bookmarkStart w:id="126" w:name="sec-style-auto-style"/>
    <w:p>
      <w:pPr>
        <w:pStyle w:val="Heading2"/>
      </w:pPr>
      <w:r>
        <w:t xml:space="preserve">18 Automated Tools for Style and Project Workflow</w:t>
      </w:r>
    </w:p>
    <w:bookmarkStart w:id="108" w:name="styling"/>
    <w:p>
      <w:pPr>
        <w:pStyle w:val="Heading3"/>
      </w:pPr>
      <w:r>
        <w:t xml:space="preserve">18.1 Styling</w:t>
      </w:r>
    </w:p>
    <w:bookmarkStart w:id="87" w:name="rstudio-shortcuts"/>
    <w:p>
      <w:pPr>
        <w:pStyle w:val="Heading4"/>
      </w:pPr>
      <w:r>
        <w:t xml:space="preserve">RStudio shortcuts</w:t>
      </w:r>
    </w:p>
    <w:p>
      <w:pPr>
        <w:numPr>
          <w:ilvl w:val="0"/>
          <w:numId w:val="1031"/>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1"/>
        </w:numPr>
      </w:pPr>
      <w:r>
        <w:rPr>
          <w:b/>
          <w:bCs/>
        </w:rPr>
        <w:t xml:space="preserve">Assignment Aligner</w:t>
      </w:r>
      <w:r>
        <w:t xml:space="preserve"> </w:t>
      </w:r>
      <w:r>
        <w:t xml:space="preserve">- A</w:t>
      </w:r>
      <w:r>
        <w:t xml:space="preserve"> </w:t>
      </w:r>
      <w:hyperlink r:id="rId86">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7"/>
    <w:bookmarkStart w:id="99" w:name="styler"/>
    <w:p>
      <w:pPr>
        <w:pStyle w:val="Heading4"/>
      </w:pPr>
      <w:hyperlink r:id="rId88">
        <w:r>
          <w:rPr>
            <w:rStyle w:val="VerbatimChar"/>
          </w:rPr>
          <w:t xml:space="preserve">{styler}</w:t>
        </w:r>
      </w:hyperlink>
    </w:p>
    <w:p>
      <w:pPr>
        <w:pStyle w:val="FirstParagraph"/>
      </w:pPr>
      <w:hyperlink r:id="rId88">
        <w:r>
          <w:rPr>
            <w:rStyle w:val="VerbatimChar"/>
          </w:rPr>
          <w:t xml:space="preserve">{styler}</w:t>
        </w:r>
      </w:hyperlink>
      <w:r>
        <w:t xml:space="preserve"> </w:t>
      </w:r>
      <w:r>
        <w:t xml:space="preserve">is another</w:t>
      </w:r>
      <w:r>
        <w:t xml:space="preserve"> </w:t>
      </w:r>
      <w:hyperlink r:id="rId89">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90">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8">
              <w:r>
                <w:rPr>
                  <w:rStyle w:val="VerbatimChar"/>
                </w:rPr>
                <w:t xml:space="preserve">{styler}</w:t>
              </w:r>
            </w:hyperlink>
            <w:r>
              <w:t xml:space="preserve"> </w:t>
            </w:r>
            <w:hyperlink r:id="rId93">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note.png" id="95"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tip.png" id="98" name="Picture"/>
                          <pic:cNvPicPr>
                            <a:picLocks noChangeArrowheads="1" noChangeAspect="1"/>
                          </pic:cNvPicPr>
                        </pic:nvPicPr>
                        <pic:blipFill>
                          <a:blip r:embed="rId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9"/>
    <w:bookmarkStart w:id="107" w:name="lintr"/>
    <w:p>
      <w:pPr>
        <w:pStyle w:val="Heading4"/>
      </w:pPr>
      <w:hyperlink r:id="rId100">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100">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101">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note.png" id="103"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10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opt/quarto/share/formats/docx/note.png" id="10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7"/>
    <w:bookmarkEnd w:id="108"/>
    <w:bookmarkStart w:id="112"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tip.png" id="110" name="Picture"/>
                          <pic:cNvPicPr>
                            <a:picLocks noChangeArrowheads="1" noChangeAspect="1"/>
                          </pic:cNvPicPr>
                        </pic:nvPicPr>
                        <pic:blipFill>
                          <a:blip r:embed="rId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2"/>
              </w:numPr>
            </w:pPr>
            <w:r>
              <w:t xml:space="preserve">Unused variables</w:t>
            </w:r>
          </w:p>
          <w:p>
            <w:pPr>
              <w:pStyle w:val="Compact"/>
              <w:numPr>
                <w:ilvl w:val="0"/>
                <w:numId w:val="1032"/>
              </w:numPr>
            </w:pPr>
            <w:r>
              <w:t xml:space="preserve">Improper whitespace</w:t>
            </w:r>
          </w:p>
          <w:p>
            <w:pPr>
              <w:pStyle w:val="Compact"/>
              <w:numPr>
                <w:ilvl w:val="0"/>
                <w:numId w:val="1032"/>
              </w:numPr>
            </w:pPr>
            <w:r>
              <w:t xml:space="preserve">Line length issues</w:t>
            </w:r>
          </w:p>
          <w:p>
            <w:pPr>
              <w:pStyle w:val="Compact"/>
              <w:numPr>
                <w:ilvl w:val="0"/>
                <w:numId w:val="1032"/>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The example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the</w:t>
            </w:r>
            <w:r>
              <w:t xml:space="preserve"> </w:t>
            </w:r>
            <w:hyperlink r:id="rId111">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We recommend</w:t>
            </w:r>
            <w:r>
              <w:t xml:space="preserve"> </w:t>
            </w:r>
            <w:r>
              <w:rPr>
                <w:rStyle w:val="VerbatimChar"/>
              </w:rPr>
              <w:t xml:space="preserve">.lintr.R</w:t>
            </w:r>
            <w:r>
              <w:t xml:space="preserve"> </w:t>
            </w:r>
            <w:r>
              <w:t xml:space="preserve">files for configuration (lintr also supports the</w:t>
            </w:r>
            <w:r>
              <w:t xml:space="preserve"> </w:t>
            </w:r>
            <w:r>
              <w:rPr>
                <w:rStyle w:val="VerbatimChar"/>
              </w:rPr>
              <w:t xml:space="preserve">.lintr</w:t>
            </w:r>
            <w:r>
              <w:t xml:space="preserve"> </w:t>
            </w:r>
            <w:r>
              <w:t xml:space="preserve">format,</w:t>
            </w:r>
            <w:r>
              <w:t xml:space="preserve"> </w:t>
            </w:r>
            <w:r>
              <w:t xml:space="preserve">but</w:t>
            </w:r>
            <w:r>
              <w:t xml:space="preserve"> </w:t>
            </w:r>
            <w:r>
              <w:rPr>
                <w:rStyle w:val="VerbatimChar"/>
              </w:rPr>
              <w:t xml:space="preserve">.lintr.R</w:t>
            </w:r>
            <w:r>
              <w:t xml:space="preserve"> </w:t>
            </w:r>
            <w:r>
              <w:t xml:space="preserve">gets full R syntax support).</w:t>
            </w:r>
          </w:p>
          <w:p/>
        </w:tc>
      </w:tr>
    </w:tbl>
    <w:bookmarkEnd w:id="112"/>
    <w:bookmarkStart w:id="123" w:name="a-recommended-lintr-configuration"/>
    <w:p>
      <w:pPr>
        <w:pStyle w:val="Heading3"/>
      </w:pPr>
      <w:r>
        <w:t xml:space="preserve">18.3 A Recommended Lintr Configuration</w:t>
      </w:r>
    </w:p>
    <w:p>
      <w:pPr>
        <w:pStyle w:val="FirstParagraph"/>
      </w:pPr>
      <w:r>
        <w:t xml:space="preserve">We recommend a custom</w:t>
      </w:r>
      <w:r>
        <w:t xml:space="preserve"> </w:t>
      </w:r>
      <w:r>
        <w:rPr>
          <w:rStyle w:val="VerbatimChar"/>
        </w:rPr>
        <w:t xml:space="preserve">.lintr.R</w:t>
      </w:r>
      <w:r>
        <w:t xml:space="preserve"> </w:t>
      </w:r>
      <w:r>
        <w:t xml:space="preserve">configuration file in each repository to enforce these style standards.</w:t>
      </w:r>
      <w:r>
        <w:t xml:space="preserve"> </w:t>
      </w:r>
      <w:r>
        <w:t xml:space="preserve">You can view an example configuration, from the UCD-SERG lab manual, at</w:t>
      </w:r>
      <w:r>
        <w:t xml:space="preserve"> </w:t>
      </w:r>
      <w:hyperlink r:id="rId13">
        <w:r>
          <w:rPr>
            <w:rStyle w:val="Hyperlink"/>
          </w:rPr>
          <w:t xml:space="preserve">https://github.com/UCD-SERG/lab-manual/blob/main/.lintr.R</w:t>
        </w:r>
      </w:hyperlink>
      <w:r>
        <w:t xml:space="preserve">.</w:t>
      </w:r>
    </w:p>
    <w:p>
      <w:pPr>
        <w:pStyle w:val="BodyText"/>
      </w:pPr>
      <w:r>
        <w:rPr>
          <w:b/>
          <w:bCs/>
        </w:rPr>
        <w:t xml:space="preserve">Key linters to enable:</w:t>
      </w:r>
    </w:p>
    <w:p>
      <w:pPr>
        <w:pStyle w:val="Compact"/>
        <w:numPr>
          <w:ilvl w:val="0"/>
          <w:numId w:val="1033"/>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3"/>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3"/>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3"/>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to disable:</w:t>
      </w:r>
    </w:p>
    <w:p>
      <w:pPr>
        <w:pStyle w:val="Compact"/>
        <w:numPr>
          <w:ilvl w:val="0"/>
          <w:numId w:val="1034"/>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You may disable this linter in older projects until you are ready to clean them up,</w:t>
      </w:r>
      <w:r>
        <w:t xml:space="preserve"> </w:t>
      </w:r>
      <w:r>
        <w:t xml:space="preserve">but we recommend explicit returns for all new code, following the</w:t>
      </w:r>
      <w:r>
        <w:t xml:space="preserve"> </w:t>
      </w:r>
      <w:hyperlink r:id="rId22">
        <w:r>
          <w:rPr>
            <w:rStyle w:val="Hyperlink"/>
          </w:rPr>
          <w:t xml:space="preserve">Google R Style Guide</w:t>
        </w:r>
      </w:hyperlink>
      <w:r>
        <w:t xml:space="preserve">.</w:t>
      </w:r>
    </w:p>
    <w:p>
      <w:pPr>
        <w:pStyle w:val="Compact"/>
        <w:numPr>
          <w:ilvl w:val="0"/>
          <w:numId w:val="1034"/>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The example configuration allows relaxed rules for certain directories:</w:t>
      </w:r>
    </w:p>
    <w:p>
      <w:pPr>
        <w:pStyle w:val="Compact"/>
        <w:numPr>
          <w:ilvl w:val="0"/>
          <w:numId w:val="1035"/>
        </w:numPr>
      </w:pPr>
      <w:r>
        <w:rPr>
          <w:rStyle w:val="VerbatimChar"/>
        </w:rPr>
        <w:t xml:space="preserve">data-raw/</w:t>
      </w:r>
      <w:r>
        <w:t xml:space="preserve">: Pipe consistency and undesirable function rules relaxed (exploratory scripts)</w:t>
      </w:r>
    </w:p>
    <w:p>
      <w:pPr>
        <w:pStyle w:val="Compact"/>
        <w:numPr>
          <w:ilvl w:val="0"/>
          <w:numId w:val="1035"/>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5"/>
        </w:numPr>
      </w:pPr>
      <w:r>
        <w:rPr>
          <w:rStyle w:val="VerbatimChar"/>
        </w:rPr>
        <w:t xml:space="preserve">inst/examples/</w:t>
      </w:r>
      <w:r>
        <w:t xml:space="preserve">: Undesirable function rules relaxed</w:t>
      </w:r>
    </w:p>
    <w:p>
      <w:pPr>
        <w:pStyle w:val="Compact"/>
        <w:numPr>
          <w:ilvl w:val="0"/>
          <w:numId w:val="1035"/>
        </w:numPr>
      </w:pPr>
      <w:r>
        <w:rPr>
          <w:rStyle w:val="VerbatimChar"/>
        </w:rPr>
        <w:t xml:space="preserve">tests/testthat.R</w:t>
      </w:r>
      <w:r>
        <w:t xml:space="preserve">: Undesirable function rules relaxed</w:t>
      </w:r>
    </w:p>
    <w:bookmarkStart w:id="122" w:name="jarl"/>
    <w:p>
      <w:pPr>
        <w:pStyle w:val="Heading4"/>
      </w:pPr>
      <w:hyperlink r:id="rId113">
        <w:r>
          <w:rPr>
            <w:rStyle w:val="VerbatimChar"/>
          </w:rPr>
          <w:t xml:space="preserve">{jarl}</w:t>
        </w:r>
      </w:hyperlink>
    </w:p>
    <w:p>
      <w:pPr>
        <w:pStyle w:val="FirstParagraph"/>
      </w:pPr>
      <w:hyperlink r:id="rId113">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6" w:name="key-features"/>
    <w:p>
      <w:pPr>
        <w:pStyle w:val="Heading5"/>
      </w:pPr>
      <w:r>
        <w:t xml:space="preserve">Key Features</w:t>
      </w:r>
    </w:p>
    <w:p>
      <w:pPr>
        <w:pStyle w:val="Compact"/>
        <w:numPr>
          <w:ilvl w:val="0"/>
          <w:numId w:val="1036"/>
        </w:numPr>
      </w:pPr>
      <w:r>
        <w:rPr>
          <w:b/>
          <w:bCs/>
        </w:rPr>
        <w:t xml:space="preserve">Fast execution:</w:t>
      </w:r>
      <w:r>
        <w:t xml:space="preserve"> </w:t>
      </w:r>
      <w:r>
        <w:t xml:space="preserve">Written in Rust to deliver near-instant linting feedback.</w:t>
      </w:r>
    </w:p>
    <w:p>
      <w:pPr>
        <w:pStyle w:val="Compact"/>
        <w:numPr>
          <w:ilvl w:val="0"/>
          <w:numId w:val="1036"/>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6"/>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14">
        <w:r>
          <w:rPr>
            <w:rStyle w:val="Hyperlink"/>
          </w:rPr>
          <w:t xml:space="preserve">editor integrations</w:t>
        </w:r>
      </w:hyperlink>
      <w:r>
        <w:t xml:space="preserve">.</w:t>
      </w:r>
    </w:p>
    <w:p>
      <w:pPr>
        <w:pStyle w:val="Compact"/>
        <w:numPr>
          <w:ilvl w:val="0"/>
          <w:numId w:val="1036"/>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6"/>
        </w:numPr>
      </w:pPr>
      <w:r>
        <w:rPr>
          <w:b/>
          <w:bCs/>
        </w:rPr>
        <w:t xml:space="preserve">Project configuration:</w:t>
      </w:r>
      <w:r>
        <w:t xml:space="preserve"> </w:t>
      </w:r>
      <w:r>
        <w:t xml:space="preserve">Configured using a</w:t>
      </w:r>
      <w:r>
        <w:t xml:space="preserve"> </w:t>
      </w:r>
      <w:hyperlink r:id="rId115">
        <w:r>
          <w:rPr>
            <w:rStyle w:val="VerbatimChar"/>
          </w:rPr>
          <w:t xml:space="preserve">jarl.toml</w:t>
        </w:r>
      </w:hyperlink>
      <w:r>
        <w:t xml:space="preserve"> </w:t>
      </w:r>
      <w:r>
        <w:t xml:space="preserve">file in the project root.</w:t>
      </w:r>
    </w:p>
    <w:bookmarkEnd w:id="116"/>
    <w:bookmarkStart w:id="118" w:name="basic-usage"/>
    <w:p>
      <w:pPr>
        <w:pStyle w:val="Heading5"/>
      </w:pPr>
      <w:r>
        <w:t xml:space="preserve">Basic Usage</w:t>
      </w:r>
    </w:p>
    <w:p>
      <w:pPr>
        <w:pStyle w:val="FirstParagraph"/>
      </w:pPr>
      <w:r>
        <w:t xml:space="preserve">Run the standalone CLI (see the</w:t>
      </w:r>
      <w:r>
        <w:t xml:space="preserve"> </w:t>
      </w:r>
      <w:hyperlink r:id="rId117">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8"/>
    <w:bookmarkStart w:id="121"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11">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project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note.png" id="12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Recommendation</w:t>
            </w:r>
          </w:p>
        </w:tc>
      </w:tr>
      <w:tr>
        <w:trPr>
          <w:cantSplit/>
        </w:trPr>
        <w:tc>
          <w:tcPr>
            <w:tcMar>
              <w:top w:w="108" w:type="dxa"/>
              <w:bottom w:w="108" w:type="dxa"/>
            </w:tcMar>
          </w:tcPr>
          <w:p>
            <w:pPr>
              <w:pStyle w:val="BodyText"/>
            </w:pPr>
            <w:pPr>
              <w:spacing w:before="16" w:after="16"/>
            </w:pPr>
            <w:r>
              <w:t xml:space="preserve">We recommend</w:t>
            </w:r>
            <w:r>
              <w:t xml:space="preserve"> </w:t>
            </w:r>
            <w:hyperlink r:id="rId100">
              <w:r>
                <w:rPr>
                  <w:rStyle w:val="VerbatimChar"/>
                </w:rPr>
                <w:t xml:space="preserve">{lintr}</w:t>
              </w:r>
            </w:hyperlink>
            <w:r>
              <w:t xml:space="preserve"> </w:t>
            </w:r>
            <w:r>
              <w:t xml:space="preserve">with a custom</w:t>
            </w:r>
            <w:r>
              <w:t xml:space="preserve"> </w:t>
            </w:r>
            <w:r>
              <w:rPr>
                <w:rStyle w:val="VerbatimChar"/>
              </w:rPr>
              <w:t xml:space="preserve">.lintr.R</w:t>
            </w:r>
            <w:r>
              <w:t xml:space="preserve"> </w:t>
            </w:r>
            <w:r>
              <w:t xml:space="preserve">configuration and a shared linter package (for example, the UCD-SERG lab manual’s</w:t>
            </w:r>
            <w:r>
              <w:t xml:space="preserve"> </w:t>
            </w:r>
            <w:hyperlink r:id="rId13">
              <w:r>
                <w:rPr>
                  <w:rStyle w:val="VerbatimChar"/>
                </w:rPr>
                <w:t xml:space="preserve">.lintr.R</w:t>
              </w:r>
            </w:hyperlink>
            <w:r>
              <w:t xml:space="preserve"> </w:t>
            </w:r>
            <w:r>
              <w:t xml:space="preserve">and this guide’s</w:t>
            </w:r>
            <w:r>
              <w:t xml:space="preserve"> </w:t>
            </w:r>
            <w:hyperlink r:id="rId111">
              <w:r>
                <w:rPr>
                  <w:rStyle w:val="VerbatimChar"/>
                </w:rPr>
                <w:t xml:space="preserve">{lms}</w:t>
              </w:r>
            </w:hyperlink>
            <w:r>
              <w:t xml:space="preserv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21"/>
    <w:bookmarkEnd w:id="122"/>
    <w:bookmarkEnd w:id="123"/>
    <w:bookmarkStart w:id="125"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100">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the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2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25"/>
    <w:bookmarkEnd w:id="126"/>
    <w:bookmarkStart w:id="131" w:name="sec-r-resources-style"/>
    <w:p>
      <w:pPr>
        <w:pStyle w:val="Heading2"/>
      </w:pPr>
      <w:r>
        <w:t xml:space="preserve">19 Additional Resources</w:t>
      </w:r>
    </w:p>
    <w:p>
      <w:pPr>
        <w:pStyle w:val="Compact"/>
        <w:numPr>
          <w:ilvl w:val="0"/>
          <w:numId w:val="1037"/>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30" w:name="refs"/>
    <w:bookmarkStart w:id="127"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7"/>
    <w:bookmarkStart w:id="128"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8"/>
    <w:bookmarkStart w:id="129"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9"/>
    <w:bookmarkEnd w:id="130"/>
    <w:bookmarkEnd w:id="1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96" Target="media/rId96.png" /><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3"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101" Target="https://cran.r-project.org/web/packages/lintr/readme/README.html#available-linters" TargetMode="External" /><Relationship Type="http://schemas.openxmlformats.org/officeDocument/2006/relationships/hyperlink" Id="rId104"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82" Target="https://docs.oracle.com/en/database/oracle/oracle-database/19/sqlrf/CREATE-SYNONYM.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11" Target="https://github.com/Morrison-Lab/psc/tree/main/lms" TargetMode="External" /><Relationship Type="http://schemas.openxmlformats.org/officeDocument/2006/relationships/hyperlink" Id="rId13" Target="https://github.com/UCD-SERG/lab-manual/blob/main/.lintr.R" TargetMode="External" /><Relationship Type="http://schemas.openxmlformats.org/officeDocument/2006/relationships/hyperlink" Id="rId38" Target="https://github.com/UCD-SERG/serodynamics/pull/326"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4"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73" Target="https://here.r-lib.org/articles/here.html" TargetMode="External" /><Relationship Type="http://schemas.openxmlformats.org/officeDocument/2006/relationships/hyperlink" Id="rId113" Target="https://jarl.etiennebacher.com/" TargetMode="External" /><Relationship Type="http://schemas.openxmlformats.org/officeDocument/2006/relationships/hyperlink" Id="rId117" Target="https://jarl.etiennebacher.com/getting-started" TargetMode="External" /><Relationship Type="http://schemas.openxmlformats.org/officeDocument/2006/relationships/hyperlink" Id="rId114" Target="https://jarl.etiennebacher.com/howto/editors" TargetMode="External" /><Relationship Type="http://schemas.openxmlformats.org/officeDocument/2006/relationships/hyperlink" Id="rId115" Target="https://jarl.etiennebacher.com/reference/config-file" TargetMode="External" /><Relationship Type="http://schemas.openxmlformats.org/officeDocument/2006/relationships/hyperlink" Id="rId83" Target="https://lifecycle.r-lib.org/articles/communicate.html" TargetMode="External" /><Relationship Type="http://schemas.openxmlformats.org/officeDocument/2006/relationships/hyperlink" Id="rId100"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4"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8" Target="https://styler.r-lib.org/" TargetMode="External" /><Relationship Type="http://schemas.openxmlformats.org/officeDocument/2006/relationships/hyperlink" Id="rId37" Target="https://tidyselect.r-lib.org/" TargetMode="External" /><Relationship Type="http://schemas.openxmlformats.org/officeDocument/2006/relationships/hyperlink" Id="rId89" Target="https://tidyverse.org/blog/2017/12/styler-1.0.0/" TargetMode="External" /><Relationship Type="http://schemas.openxmlformats.org/officeDocument/2006/relationships/hyperlink" Id="rId81" Target="https://www.geeksforgeeks.org/sql/difference-between-alias-and-synonym-in-sql/" TargetMode="External" /><Relationship Type="http://schemas.openxmlformats.org/officeDocument/2006/relationships/hyperlink" Id="rId86" Target="https://www.r-bloggers.com/align-assign-rstudio-addin-to-align-assignment-operators/" TargetMode="External" /><Relationship Type="http://schemas.openxmlformats.org/officeDocument/2006/relationships/hyperlink" Id="rId90" Target="https://www.rdocumentation.org/packages/styler/versions/1.1.0/topics/style_dir" TargetMode="External" /></Relationships>
</file>

<file path=word/_rels/footnotes.xml.rels><?xml version="1.0" encoding="UTF-8"?><Relationships xmlns="http://schemas.openxmlformats.org/package/2006/relationships"><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3"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101" Target="https://cran.r-project.org/web/packages/lintr/readme/README.html#available-linters" TargetMode="External" /><Relationship Type="http://schemas.openxmlformats.org/officeDocument/2006/relationships/hyperlink" Id="rId104"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82" Target="https://docs.oracle.com/en/database/oracle/oracle-database/19/sqlrf/CREATE-SYNONYM.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11" Target="https://github.com/Morrison-Lab/psc/tree/main/lms" TargetMode="External" /><Relationship Type="http://schemas.openxmlformats.org/officeDocument/2006/relationships/hyperlink" Id="rId13" Target="https://github.com/UCD-SERG/lab-manual/blob/main/.lintr.R" TargetMode="External" /><Relationship Type="http://schemas.openxmlformats.org/officeDocument/2006/relationships/hyperlink" Id="rId38" Target="https://github.com/UCD-SERG/serodynamics/pull/326"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4"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73" Target="https://here.r-lib.org/articles/here.html" TargetMode="External" /><Relationship Type="http://schemas.openxmlformats.org/officeDocument/2006/relationships/hyperlink" Id="rId113" Target="https://jarl.etiennebacher.com/" TargetMode="External" /><Relationship Type="http://schemas.openxmlformats.org/officeDocument/2006/relationships/hyperlink" Id="rId117" Target="https://jarl.etiennebacher.com/getting-started" TargetMode="External" /><Relationship Type="http://schemas.openxmlformats.org/officeDocument/2006/relationships/hyperlink" Id="rId114" Target="https://jarl.etiennebacher.com/howto/editors" TargetMode="External" /><Relationship Type="http://schemas.openxmlformats.org/officeDocument/2006/relationships/hyperlink" Id="rId115" Target="https://jarl.etiennebacher.com/reference/config-file" TargetMode="External" /><Relationship Type="http://schemas.openxmlformats.org/officeDocument/2006/relationships/hyperlink" Id="rId83" Target="https://lifecycle.r-lib.org/articles/communicate.html" TargetMode="External" /><Relationship Type="http://schemas.openxmlformats.org/officeDocument/2006/relationships/hyperlink" Id="rId100"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4"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8" Target="https://styler.r-lib.org/" TargetMode="External" /><Relationship Type="http://schemas.openxmlformats.org/officeDocument/2006/relationships/hyperlink" Id="rId37" Target="https://tidyselect.r-lib.org/" TargetMode="External" /><Relationship Type="http://schemas.openxmlformats.org/officeDocument/2006/relationships/hyperlink" Id="rId89" Target="https://tidyverse.org/blog/2017/12/styler-1.0.0/" TargetMode="External" /><Relationship Type="http://schemas.openxmlformats.org/officeDocument/2006/relationships/hyperlink" Id="rId81" Target="https://www.geeksforgeeks.org/sql/difference-between-alias-and-synonym-in-sql/" TargetMode="External" /><Relationship Type="http://schemas.openxmlformats.org/officeDocument/2006/relationships/hyperlink" Id="rId86" Target="https://www.r-bloggers.com/align-assign-rstudio-addin-to-align-assignment-operators/" TargetMode="External" /><Relationship Type="http://schemas.openxmlformats.org/officeDocument/2006/relationships/hyperlink" Id="rId90" Target="https://www.rdocumentation.org/packages/styler/versions/1.1.0/topics/style_d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2026-10-27T04:46:21Z</dcterms:created>
  <dcterms:modified xsi:type="dcterms:W3CDTF">2026-10-27T04:46:21Z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21:41:24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