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2026-10-22 12:08:42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1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1"/>
    <w:bookmarkStart w:id="63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acc>
          <m:accPr>
            <m:chr m:val="̃"/>
          </m:accPr>
          <m:e>
            <m:r>
              <m:t>ϕ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2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2"/>
    <w:bookmarkEnd w:id="63"/>
    <w:bookmarkStart w:id="65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4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4"/>
    <w:p>
      <w:pPr>
        <w:pStyle w:val="BodyText"/>
      </w:pPr>
      <w:r>
        <w:t xml:space="preserve">Put a specific case on the sheet only as a labeled example next to the general formula.</w:t>
      </w:r>
    </w:p>
    <w:bookmarkEnd w:id="65"/>
    <w:bookmarkStart w:id="67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g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66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\hat{g}(x))^2}$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$\E{\hat{g}(x)} - \mu(x)$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66"/>
    <w:bookmarkEnd w:id="67"/>
    <w:bookmarkStart w:id="70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9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9"/>
    <w:bookmarkEnd w:id="70"/>
    <w:bookmarkStart w:id="75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1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1"/>
    <w:bookmarkStart w:id="72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2"/>
    <w:bookmarkStart w:id="73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3"/>
    <w:bookmarkStart w:id="74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2026-10-22T19:13:21Z</dcterms:created>
  <dcterms:modified xsi:type="dcterms:W3CDTF">2026-10-22T19:13:21Z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