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r>
        <w:t xml:space="preserve">Last modified: 2026-10-16 04:17:08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6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splits the sum,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20" w:name="applying-a-definition-is-a-step"/>
    <w:p>
      <w:pPr>
        <w:pStyle w:val="Heading3"/>
      </w:pPr>
      <w:r>
        <w:t xml:space="preserve">2.1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It is where the general rules meet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19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19"/>
    <w:bookmarkEnd w:id="20"/>
    <w:bookmarkStart w:id="21" w:name="using-a-fact-the-reader-has-not-seen"/>
    <w:p>
      <w:pPr>
        <w:pStyle w:val="Heading3"/>
      </w:pPr>
      <w:r>
        <w:t xml:space="preserve">2.2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1"/>
    <w:bookmarkStart w:id="25" w:name="long-derivations"/>
    <w:p>
      <w:pPr>
        <w:pStyle w:val="Heading3"/>
      </w:pPr>
      <w:r>
        <w:t xml:space="preserve">2.3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2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meets the inner derivative first</w:t>
      </w:r>
      <w:r>
        <w:t xml:space="preserve"> </w:t>
      </w:r>
      <w:r>
        <w:t xml:space="preserve">does not yet know what it is for.</w:t>
      </w:r>
    </w:p>
    <w:bookmarkEnd w:id="22"/>
    <w:bookmarkStart w:id="24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3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3"/>
    <w:bookmarkEnd w:id="24"/>
    <w:bookmarkEnd w:id="25"/>
    <w:bookmarkEnd w:id="26"/>
    <w:bookmarkStart w:id="29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8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8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29"/>
    <w:bookmarkStart w:id="31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0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0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p>
      <w:pPr>
        <w:pStyle w:val="FirstParagraph"/>
      </w:pPr>
      <w:r>
        <w:t xml:space="preserve">In machine learning notes, the prediction function 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and its value at the</w:t>
      </w:r>
      <w:r>
        <w:t xml:space="preserve"> </w:t>
      </w:r>
      <m:oMath>
        <m:r>
          <m:t>i</m:t>
        </m:r>
      </m:oMath>
      <w:r>
        <w:t xml:space="preserve">-th observed input is 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.</w:t>
      </w:r>
      <w:r>
        <w:t xml:space="preserve"> </w:t>
      </w:r>
      <w:r>
        <w:t xml:space="preserve">Define it once as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the fitted value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1"/>
    <w:bookmarkStart w:id="33" w:name="random-variables-and-their-values"/>
    <w:p>
      <w:pPr>
        <w:pStyle w:val="Heading2"/>
      </w:pPr>
      <w:r>
        <w:t xml:space="preserve">5 Random variables and their values</w:t>
      </w:r>
    </w:p>
    <w:p>
      <w:pPr>
        <w:pStyle w:val="FirstParagraph"/>
      </w:pPr>
      <w:r>
        <w:t xml:space="preserve">A random variable and a value that it takes are different objects.</w:t>
      </w:r>
      <w:r>
        <w:t xml:space="preserve"> </w:t>
      </w:r>
      <w:r>
        <w:t xml:space="preserve">Before the data are collected, the outcome is a random variable;</w:t>
      </w:r>
      <w:r>
        <w:t xml:space="preserve"> </w:t>
      </w:r>
      <w:r>
        <w:t xml:space="preserve">after, it is a number.</w:t>
      </w:r>
      <w:r>
        <w:t xml:space="preserve"> </w:t>
      </w:r>
      <w:r>
        <w:t xml:space="preserve">Statements about the two have different meanings.</w:t>
      </w:r>
      <w:r>
        <w:t xml:space="preserve"> </w:t>
      </w:r>
      <w:r>
        <w:t xml:space="preserve">Write them with different symbols.</w:t>
      </w:r>
    </w:p>
    <w:p>
      <w:pPr>
        <w:pStyle w:val="BodyText"/>
      </w:pPr>
      <w:r>
        <w:t xml:space="preserve">Use a capital letter for the random variable</w:t>
      </w:r>
      <w:r>
        <w:t xml:space="preserve"> </w:t>
      </w:r>
      <w:r>
        <w:t xml:space="preserve">and the matching lowercase letter for a value that it takes:</w:t>
      </w:r>
    </w:p>
    <w:p>
      <w:pPr>
        <w:pStyle w:val="Compact"/>
        <w:numPr>
          <w:ilvl w:val="0"/>
          <w:numId w:val="1007"/>
        </w:numPr>
      </w:pPr>
      <m:oMath>
        <m:r>
          <m:t>Y</m:t>
        </m:r>
      </m:oMath>
      <w:r>
        <w:t xml:space="preserve"> </w:t>
      </w:r>
      <w:r>
        <w:t xml:space="preserve">is the random variable, such as the outcome of a coin flip before the flip;</w:t>
      </w:r>
    </w:p>
    <w:p>
      <w:pPr>
        <w:pStyle w:val="Compact"/>
        <w:numPr>
          <w:ilvl w:val="0"/>
          <w:numId w:val="1007"/>
        </w:numPr>
      </w:pPr>
      <m:oMath>
        <m:r>
          <m:t>y</m:t>
        </m:r>
      </m:oMath>
      <w:r>
        <w:t xml:space="preserve"> </w:t>
      </w:r>
      <w:r>
        <w:t xml:space="preserve">is one value of</w:t>
      </w:r>
      <w:r>
        <w:t xml:space="preserve"> </w:t>
      </w:r>
      <m:oMath>
        <m:r>
          <m:t>Y</m:t>
        </m:r>
      </m:oMath>
      <w:r>
        <w:t xml:space="preserve">, such as 1 after the flip lands heads;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random variable for the</w:t>
      </w:r>
      <w:r>
        <w:t xml:space="preserve"> </w:t>
      </w:r>
      <m:oMath>
        <m:r>
          <m:t>i</m:t>
        </m:r>
      </m:oMath>
      <w:r>
        <w:t xml:space="preserve">-th observation;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that observation’s observed value.</w:t>
      </w:r>
    </w:p>
    <w:p>
      <w:pPr>
        <w:pStyle w:val="FirstParagraph"/>
      </w:pPr>
      <w:r>
        <w:t xml:space="preserve">State the convention where you first use the symbols.</w:t>
      </w:r>
      <w:r>
        <w:t xml:space="preserve"> </w:t>
      </w:r>
      <w:r>
        <w:t xml:space="preserve">Keep it in every later section.</w:t>
      </w:r>
      <w:r>
        <w:t xml:space="preserve"> </w:t>
      </w:r>
      <w:r>
        <w:t xml:space="preserve">Do not switch between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the same quantity</w:t>
      </w:r>
      <w:r>
        <w:t xml:space="preserve"> </w:t>
      </w:r>
      <w:r>
        <w:t xml:space="preserve">unless the meaning changes from</w:t>
      </w:r>
      <w:r>
        <w:t xml:space="preserve"> </w:t>
      </w:r>
      <w:r>
        <w:t xml:space="preserve">“before the data”</w:t>
      </w:r>
      <w:r>
        <w:t xml:space="preserve"> </w:t>
      </w:r>
      <w:r>
        <w:t xml:space="preserve">to</w:t>
      </w:r>
      <w:r>
        <w:t xml:space="preserve"> </w:t>
      </w:r>
      <w:r>
        <w:t xml:space="preserve">“after the data”</w:t>
      </w:r>
      <w:r>
        <w:t xml:space="preserve">.</w:t>
      </w:r>
    </w:p>
    <w:bookmarkStart w:id="32" w:name="exm-random-variable-vs-value"/>
    <w:p>
      <w:pPr>
        <w:pStyle w:val="BodyText"/>
      </w:pPr>
      <w:r>
        <w:rPr>
          <w:b/>
          <w:bCs/>
        </w:rPr>
        <w:t xml:space="preserve">Example 8 (Writing a random variable and its value)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✅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❌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BlockText"/>
      </w:pPr>
      <w:r>
        <w:t xml:space="preserve">✅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FirstParagraph"/>
      </w:pPr>
      <w:r>
        <w:t xml:space="preserve">A probability is a statement about a random variable.</w:t>
      </w:r>
      <w:r>
        <w:t xml:space="preserve"> </w:t>
      </w:r>
      <w:r>
        <w:t xml:space="preserve">The ❌ version of the first pair puts a fixed number</w:t>
      </w:r>
      <w:r>
        <w:t xml:space="preserve"> </w:t>
      </w:r>
      <w:r>
        <w:t xml:space="preserve">where a quantity that can vary belongs.</w:t>
      </w:r>
      <w:r>
        <w:t xml:space="preserve"> </w:t>
      </w:r>
      <w:r>
        <w:t xml:space="preserve">An observed number has no probability of exceeding 3.</w:t>
      </w:r>
      <w:r>
        <w:t xml:space="preserve"> </w:t>
      </w:r>
      <w:r>
        <w:t xml:space="preserve">The second pair has the reverse mistake.</w:t>
      </w:r>
      <w:r>
        <w:t xml:space="preserve"> </w:t>
      </w:r>
      <w:r>
        <w:t xml:space="preserve">A sample mean of 2.4 is a number computed from observed values.</w:t>
      </w:r>
      <w:r>
        <w:t xml:space="preserve"> </w:t>
      </w:r>
      <w:r>
        <w:t xml:space="preserve">The ❌ version attributes it to the random variables.</w:t>
      </w:r>
      <w:r>
        <w:t xml:space="preserve"> </w:t>
      </w:r>
      <w:r>
        <w:t xml:space="preserve">The sample mean of the random variables,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 is itself a random variable.</w:t>
      </w:r>
    </w:p>
    <w:bookmarkEnd w:id="32"/>
    <w:p>
      <w:pPr>
        <w:pStyle w:val="BodyText"/>
      </w:pPr>
      <w:r>
        <w:t xml:space="preserve">Match the notation to the claim:</w:t>
      </w:r>
    </w:p>
    <w:p>
      <w:pPr>
        <w:pStyle w:val="Compact"/>
        <w:numPr>
          <w:ilvl w:val="0"/>
          <w:numId w:val="1008"/>
        </w:numPr>
      </w:pPr>
      <w:r>
        <w:t xml:space="preserve">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probability,</w:t>
      </w:r>
      <w:r>
        <w:t xml:space="preserve"> </w:t>
      </w:r>
      <w:r>
        <w:t xml:space="preserve">with the random variable on the left of the inequality</w:t>
      </w:r>
      <w:r>
        <w:t xml:space="preserve"> </w:t>
      </w:r>
      <w:r>
        <w:t xml:space="preserve">and the value on the right.</w:t>
      </w:r>
    </w:p>
    <w:p>
      <w:pPr>
        <w:pStyle w:val="Compact"/>
        <w:numPr>
          <w:ilvl w:val="0"/>
          <w:numId w:val="1008"/>
        </w:numPr>
      </w:pPr>
      <w:r>
        <w:t xml:space="preserve">Write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mean and variance</w:t>
      </w:r>
      <w:r>
        <w:t xml:space="preserve"> </w:t>
      </w:r>
      <w:r>
        <w:t xml:space="preserve">of a random variable,</w:t>
      </w:r>
      <w:r>
        <w:t xml:space="preserve"> </w:t>
      </w:r>
      <w:r>
        <w:t xml:space="preserve">never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an observed value.</w:t>
      </w:r>
    </w:p>
    <w:p>
      <w:pPr>
        <w:pStyle w:val="Compact"/>
        <w:numPr>
          <w:ilvl w:val="0"/>
          <w:numId w:val="1008"/>
        </w:numPr>
      </w:pPr>
      <w:r>
        <w:t xml:space="preserve">Write a statistic computed from observed values with lowercase letters,</w:t>
      </w:r>
      <w:r>
        <w:t xml:space="preserve"> </w:t>
      </w:r>
      <w:r>
        <w:t xml:space="preserve">as in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and the same statistic as a random variable with capitals,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first is a number, such as 2.4.</w:t>
      </w:r>
      <w:r>
        <w:t xml:space="preserve"> </w:t>
      </w:r>
      <w:r>
        <w:t xml:space="preserve">The second has a sampling distribution.</w:t>
      </w:r>
    </w:p>
    <w:p>
      <w:pPr>
        <w:pStyle w:val="FirstParagraph"/>
      </w:pPr>
      <w:r>
        <w:t xml:space="preserve">Some fields reserve capital letters for matrices,</w:t>
      </w:r>
      <w:r>
        <w:t xml:space="preserve"> </w:t>
      </w:r>
      <w:r>
        <w:t xml:space="preserve">or use the same letter for a random variable and its value.</w:t>
      </w:r>
      <w:r>
        <w:t xml:space="preserve"> </w:t>
      </w:r>
      <w:r>
        <w:t xml:space="preserve">In that case, say so where you introduce the symbols.</w:t>
      </w:r>
      <w:r>
        <w:t xml:space="preserve"> </w:t>
      </w:r>
      <w:r>
        <w:t xml:space="preserve">Add a word that tells the reader which meaning applies,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random variable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End w:id="33"/>
    <w:bookmarkStart w:id="36" w:name="matching-names-and-notation"/>
    <w:p>
      <w:pPr>
        <w:pStyle w:val="Heading2"/>
      </w:pPr>
      <w:r>
        <w:t xml:space="preserve">6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34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35" w:name="exm-name-matches-notation"/>
    <w:p>
      <w:pPr>
        <w:pStyle w:val="BodyText"/>
      </w:pPr>
      <w:r>
        <w:rPr>
          <w:b/>
          <w:bCs/>
        </w:rPr>
        <w:t xml:space="preserve">Example 9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35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End w:id="36"/>
    <w:bookmarkStart w:id="44" w:name="using-shared-macros"/>
    <w:p>
      <w:pPr>
        <w:pStyle w:val="Heading2"/>
      </w:pPr>
      <w:r>
        <w:t xml:space="preserve">7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37" w:name="exm-use-shared-macro"/>
    <w:p>
      <w:pPr>
        <w:pStyle w:val="BodyText"/>
      </w:pPr>
      <w:r>
        <w:rPr>
          <w:b/>
          <w:bCs/>
        </w:rPr>
        <w:t xml:space="preserve">Example 10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37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09"/>
        </w:numPr>
      </w:pPr>
      <w:r>
        <w:t xml:space="preserve">transposes</w:t>
      </w:r>
    </w:p>
    <w:p>
      <w:pPr>
        <w:pStyle w:val="Compact"/>
        <w:numPr>
          <w:ilvl w:val="0"/>
          <w:numId w:val="1009"/>
        </w:numPr>
      </w:pPr>
      <w:r>
        <w:t xml:space="preserve">hats on estimates</w:t>
      </w:r>
    </w:p>
    <w:p>
      <w:pPr>
        <w:pStyle w:val="Compact"/>
        <w:numPr>
          <w:ilvl w:val="0"/>
          <w:numId w:val="1009"/>
        </w:numPr>
      </w:pPr>
      <w:r>
        <w:t xml:space="preserve">expectations</w:t>
      </w:r>
    </w:p>
    <w:p>
      <w:pPr>
        <w:pStyle w:val="Compact"/>
        <w:numPr>
          <w:ilvl w:val="0"/>
          <w:numId w:val="1009"/>
        </w:numPr>
      </w:pPr>
      <w:r>
        <w:t xml:space="preserve">variances</w:t>
      </w:r>
    </w:p>
    <w:p>
      <w:pPr>
        <w:pStyle w:val="Compact"/>
        <w:numPr>
          <w:ilvl w:val="0"/>
          <w:numId w:val="1009"/>
        </w:numPr>
      </w:pPr>
      <w:r>
        <w:t xml:space="preserve">probabilities</w:t>
      </w:r>
    </w:p>
    <w:p>
      <w:pPr>
        <w:pStyle w:val="Compact"/>
        <w:numPr>
          <w:ilvl w:val="0"/>
          <w:numId w:val="1009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  <w:r>
        <w:t xml:space="preserve"> </w:t>
      </w:r>
      <w:r>
        <w:t xml:space="preserve">The only exception is a one-off symbol that fits no semantic category,</w:t>
      </w:r>
      <w:r>
        <w:t xml:space="preserve"> </w:t>
      </w:r>
      <w:r>
        <w:t xml:space="preserve">and the rule for Latin letters below says when that applies.</w:t>
      </w:r>
    </w:p>
    <w:bookmarkStart w:id="38" w:name="exm-semantic-macro-name"/>
    <w:p>
      <w:pPr>
        <w:pStyle w:val="BodyText"/>
      </w:pPr>
      <w:r>
        <w:rPr>
          <w:b/>
          <w:bCs/>
        </w:rPr>
        <w:t xml:space="preserve">Example 11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38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39" w:name="exm-semantic-decorator"/>
    <w:p>
      <w:pPr>
        <w:pStyle w:val="BodyText"/>
      </w:pPr>
      <w:r>
        <w:rPr>
          <w:b/>
          <w:bCs/>
        </w:rPr>
        <w:t xml:space="preserve">Example 12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39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40" w:name="exm-semantic-font"/>
    <w:p>
      <w:pPr>
        <w:pStyle w:val="BodyText"/>
      </w:pPr>
      <w:r>
        <w:rPr>
          <w:b/>
          <w:bCs/>
        </w:rPr>
        <w:t xml:space="preserve">Example 13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40"/>
    <w:p>
      <w:pPr>
        <w:pStyle w:val="BodyText"/>
      </w:pPr>
      <w:r>
        <w:t xml:space="preserve">Latin letters follow the same rule, with the same single exception for letters of either alphabet.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literal Latin or Greek letter in a math expression.</w:t>
      </w:r>
      <w:r>
        <w:t xml:space="preserve"> </w:t>
      </w:r>
      <w:r>
        <w:t xml:space="preserve">The exception is a one-off symbol that fits no semantic category.</w:t>
      </w:r>
      <w:r>
        <w:t xml:space="preserve"> </w:t>
      </w:r>
      <w:r>
        <w:t xml:space="preserve">The shared macros already name outcome variables, covariates and generic parameters,</w:t>
      </w:r>
      <w:r>
        <w:t xml:space="preserve"> </w:t>
      </w:r>
      <w:r>
        <w:t xml:space="preserve">so a one-off should almost never be needed.</w:t>
      </w:r>
      <w:r>
        <w:t xml:space="preserve"> </w:t>
      </w:r>
      <w:r>
        <w:t xml:space="preserve">When a symbol has a category but no macro, add the macro to the shared file first.</w:t>
      </w:r>
      <w:r>
        <w:t xml:space="preserve"> </w:t>
      </w:r>
      <w:r>
        <w:t xml:space="preserve">New macros always go in the group’s shared macros repository,</w:t>
      </w:r>
      <w:r>
        <w:t xml:space="preserve"> </w:t>
      </w:r>
      <w:r>
        <w:t xml:space="preserve">never in a repository that applies them,</w:t>
      </w:r>
      <w:r>
        <w:t xml:space="preserve"> </w:t>
      </w:r>
      <w:r>
        <w:t xml:space="preserve">unless that repository explicitly overrides the default meaning of one specific macro.</w:t>
      </w:r>
    </w:p>
    <w:p>
      <w:pPr>
        <w:pStyle w:val="BodyText"/>
      </w:pPr>
      <w:r>
        <w:t xml:space="preserve">Latin letters with a fixed role show the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41" w:name="exm-semantic-latin-letter"/>
    <w:p>
      <w:pPr>
        <w:pStyle w:val="BodyText"/>
      </w:pPr>
      <w:r>
        <w:rPr>
          <w:b/>
          <w:bCs/>
        </w:rPr>
        <w:t xml:space="preserve">Example 14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41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42" w:name="exm-named-quantity"/>
    <w:p>
      <w:pPr>
        <w:pStyle w:val="BodyText"/>
      </w:pPr>
      <w:r>
        <w:rPr>
          <w:b/>
          <w:bCs/>
        </w:rPr>
        <w:t xml:space="preserve">Example 15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42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43" w:name="exm-semantic-delimiter"/>
    <w:p>
      <w:pPr>
        <w:pStyle w:val="BodyText"/>
      </w:pPr>
      <w:r>
        <w:rPr>
          <w:b/>
          <w:bCs/>
        </w:rPr>
        <w:t xml:space="preserve">Example 16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43"/>
    <w:bookmarkEnd w:id="44"/>
    <w:bookmarkStart w:id="47" w:name="making-expressions-concise"/>
    <w:p>
      <w:pPr>
        <w:pStyle w:val="Heading2"/>
      </w:pPr>
      <w:r>
        <w:t xml:space="preserve">8 Making expressions concise</w:t>
      </w:r>
    </w:p>
    <w:p>
      <w:pPr>
        <w:pStyle w:val="FirstParagraph"/>
      </w:pPr>
      <w:r>
        <w:t xml:space="preserve">Make each expression as concise as possible.</w:t>
      </w:r>
      <w:r>
        <w:t xml:space="preserve"> </w:t>
      </w:r>
      <w:r>
        <w:t xml:space="preserve">The less clutter an expression has, the easier it is to read.</w:t>
      </w:r>
      <w:r>
        <w:t xml:space="preserve"> </w:t>
      </w:r>
      <w:r>
        <w:t xml:space="preserve">This is one case of</w:t>
      </w:r>
      <w:r>
        <w:t xml:space="preserve"> </w:t>
      </w:r>
      <w:hyperlink r:id="rId45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</w:p>
    <w:p>
      <w:pPr>
        <w:pStyle w:val="BodyText"/>
      </w:pPr>
      <w:r>
        <w:t xml:space="preserve">Before you finish a definition, theorem or proof,</w:t>
      </w:r>
      <w:r>
        <w:t xml:space="preserve"> </w:t>
      </w:r>
      <w:r>
        <w:t xml:space="preserve">scan it for a sub-expression that is written out in full</w:t>
      </w:r>
      <w:r>
        <w:t xml:space="preserve"> </w:t>
      </w:r>
      <w:r>
        <w:t xml:space="preserve">more than once,</w:t>
      </w:r>
      <w:r>
        <w:t xml:space="preserve"> </w:t>
      </w:r>
      <w:r>
        <w:t xml:space="preserve">or that is a conceptually coherent chunk</w:t>
      </w:r>
      <w:r>
        <w:t xml:space="preserve"> </w:t>
      </w:r>
      <w:r>
        <w:t xml:space="preserve">even if it appears only once,</w:t>
      </w:r>
      <w:r>
        <w:t xml:space="preserve"> </w:t>
      </w:r>
      <w:r>
        <w:t xml:space="preserve">such as the prediction error (the fitted value minus the outcome)</w:t>
      </w:r>
      <w:r>
        <w:t xml:space="preserve"> </w:t>
      </w:r>
      <w:r>
        <w:t xml:space="preserve">or the loss of a prediction on one observation.</w:t>
      </w:r>
      <w:r>
        <w:t xml:space="preserve"> </w:t>
      </w:r>
      <w:r>
        <w:t xml:space="preserve">Give the chunk a name and a macro,</w:t>
      </w:r>
      <w:r>
        <w:t xml:space="preserve"> </w:t>
      </w:r>
      <w:r>
        <w:t xml:space="preserve">and write the macro everywhere the chunk appears.</w:t>
      </w:r>
    </w:p>
    <w:bookmarkStart w:id="46" w:name="exm-concise-expression"/>
    <w:p>
      <w:pPr>
        <w:pStyle w:val="BodyText"/>
      </w:pPr>
      <w:r>
        <w:rPr>
          <w:b/>
          <w:bCs/>
        </w:rPr>
        <w:t xml:space="preserve">Example 17 (Naming a repeated chunk)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loss is $\frac{1}{n} \sum_{i=1}^n \paren{\eoutvar_i - \outvar_i}^2$, and its derivative is $\frac{2}{n} \sum_{i=1}^n \paren{\eoutvar_i - \outvar_i} \predvar_i$.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loss is $\frac{1}{n} \sum_{i=1}^n \prederr_i^2$, and its derivative is $\frac{2}{n} \sum_{i=1}^n \prederr_i \predvar_i$.</w:t>
      </w:r>
    </w:p>
    <w:p>
      <w:pPr>
        <w:pStyle w:val="FirstParagraph"/>
      </w:pPr>
      <w:r>
        <w:t xml:space="preserve">Both versions print the same quantities.</w:t>
      </w:r>
      <w:r>
        <w:t xml:space="preserve"> </w:t>
      </w:r>
      <w:r>
        <w:t xml:space="preserve">The ❌ version writes the difference</w:t>
      </w:r>
      <w:r>
        <w:t xml:space="preserve"> </w:t>
      </w:r>
      <w:r>
        <w:rPr>
          <w:rStyle w:val="VerbatimChar"/>
        </w:rPr>
        <w:t xml:space="preserve">\eoutvar_i - \outvar_i</w:t>
      </w:r>
      <w:r>
        <w:t xml:space="preserve"> </w:t>
      </w:r>
      <w:r>
        <w:t xml:space="preserve">out twice.</w:t>
      </w:r>
      <w:r>
        <w:t xml:space="preserve"> </w:t>
      </w:r>
      <w:r>
        <w:t xml:space="preserve">The ✅ version names it once, as the prediction error,</w:t>
      </w:r>
      <w:r>
        <w:t xml:space="preserve"> </w:t>
      </w:r>
      <w:r>
        <w:t xml:space="preserve">and each formula shows at a glance what it is built from.</w:t>
      </w:r>
    </w:p>
    <w:bookmarkEnd w:id="46"/>
    <w:p>
      <w:pPr>
        <w:pStyle w:val="BodyText"/>
      </w:pPr>
      <w:r>
        <w:t xml:space="preserve">Add the macro to the shared macro file before you use it,</w:t>
      </w:r>
      <w:r>
        <w:t xml:space="preserve"> </w:t>
      </w:r>
      <w:r>
        <w:t xml:space="preserve">never as a local macro in one document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record its meaning in that file’s</w:t>
      </w:r>
      <w:r>
        <w:t xml:space="preserve"> </w:t>
      </w:r>
      <w:r>
        <w:rPr>
          <w:rStyle w:val="VerbatimChar"/>
        </w:rPr>
        <w:t xml:space="preserve">interpretations.tsv</w:t>
      </w:r>
      <w:r>
        <w:t xml:space="preserve">.</w:t>
      </w:r>
    </w:p>
    <w:bookmarkEnd w:id="47"/>
    <w:bookmarkStart w:id="49" w:name="writing-dot-products"/>
    <w:p>
      <w:pPr>
        <w:pStyle w:val="Heading2"/>
      </w:pPr>
      <w:r>
        <w:t xml:space="preserve">9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48" w:name="exm-dot-product"/>
    <w:p>
      <w:pPr>
        <w:pStyle w:val="BodyText"/>
      </w:pPr>
      <w:r>
        <w:rPr>
          <w:b/>
          <w:bCs/>
        </w:rPr>
        <w:t xml:space="preserve">Example 18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48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11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11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11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49"/>
    <w:bookmarkStart w:id="52" w:name="writing-out-notational-shorthands"/>
    <w:p>
      <w:pPr>
        <w:pStyle w:val="Heading2"/>
      </w:pPr>
      <w:r>
        <w:t xml:space="preserve">10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50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51" w:name="exm-notational-shorthand"/>
    <w:p>
      <w:pPr>
        <w:pStyle w:val="BodyText"/>
      </w:pPr>
      <w:r>
        <w:rPr>
          <w:b/>
          <w:bCs/>
        </w:rPr>
        <w:t xml:space="preserve">Example 19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51"/>
    <w:bookmarkEnd w:id="52"/>
    <w:bookmarkStart w:id="54" w:name="stating-assumptions-before-using-them"/>
    <w:p>
      <w:pPr>
        <w:pStyle w:val="Heading2"/>
      </w:pPr>
      <w:r>
        <w:t xml:space="preserve">11 Stating assumptions before using them</w:t>
      </w:r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2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a hypothesis of a theorem;</w:t>
      </w:r>
    </w:p>
    <w:p>
      <w:pPr>
        <w:pStyle w:val="Compact"/>
        <w:numPr>
          <w:ilvl w:val="0"/>
          <w:numId w:val="1012"/>
        </w:numPr>
      </w:pPr>
      <w:r>
        <w:t xml:space="preserve">a case split;</w:t>
      </w:r>
    </w:p>
    <w:p>
      <w:pPr>
        <w:pStyle w:val="Compact"/>
        <w:numPr>
          <w:ilvl w:val="0"/>
          <w:numId w:val="1012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bookmarkStart w:id="53" w:name="exm-assumptions-first"/>
    <w:p>
      <w:pPr>
        <w:pStyle w:val="BodyText"/>
      </w:pPr>
      <w:r>
        <w:rPr>
          <w:b/>
          <w:bCs/>
        </w:rPr>
        <w:t xml:space="preserve">Example 20 (Stating the restriction on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before using it)</w:t>
      </w:r>
      <w:r>
        <w:t xml:space="preserve"> </w:t>
      </w:r>
      <w:r>
        <w:t xml:space="preserve">To show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we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near 2 other than 2 itself.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34" Target="defining-terms.qmd#guidelines-for-defining-terms" TargetMode="External" /><Relationship Type="http://schemas.openxmlformats.org/officeDocument/2006/relationships/hyperlink" Id="rId50" Target="https://morrison-lab.github.io/mds/notation.html#sec-notational-shorthands" TargetMode="External" /><Relationship Type="http://schemas.openxmlformats.org/officeDocument/2006/relationships/hyperlink" Id="rId27" Target="notation.qmd#one-operation-per-step" TargetMode="External" /><Relationship Type="http://schemas.openxmlformats.org/officeDocument/2006/relationships/hyperlink" Id="rId45" Target="teaching.qmd#build-every-unit-from-smaller-atomic-uni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34" Target="defining-terms.qmd#guidelines-for-defining-terms" TargetMode="External" /><Relationship Type="http://schemas.openxmlformats.org/officeDocument/2006/relationships/hyperlink" Id="rId50" Target="https://morrison-lab.github.io/mds/notation.html#sec-notational-shorthands" TargetMode="External" /><Relationship Type="http://schemas.openxmlformats.org/officeDocument/2006/relationships/hyperlink" Id="rId27" Target="notation.qmd#one-operation-per-step" TargetMode="External" /><Relationship Type="http://schemas.openxmlformats.org/officeDocument/2006/relationships/hyperlink" Id="rId45" Target="teaching.qmd#build-every-unit-from-smaller-atomic-uni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2026-10-16T11:20:54Z</dcterms:created>
  <dcterms:modified xsi:type="dcterms:W3CDTF">2026-10-16T11:20:54Z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04:17:08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