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r>
        <w:t xml:space="preserve">Last modified: 2026-10-18 13:00:34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1"/>
    <w:bookmarkStart w:id="36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3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33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4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5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5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6"/>
    <w:bookmarkStart w:id="38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7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7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 variance</w:t>
      </w:r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38"/>
    <w:bookmarkStart w:id="41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39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0" w:name="exm-name-matches-notation"/>
    <w:p>
      <w:pPr>
        <w:pStyle w:val="BodyText"/>
      </w:pPr>
      <w:r>
        <w:rPr>
          <w:b/>
          <w:bCs/>
        </w:rPr>
        <w:t xml:space="preserve">Example 10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41"/>
    <w:bookmarkStart w:id="50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2" w:name="exm-use-shared-macro"/>
    <w:p>
      <w:pPr>
        <w:pStyle w:val="BodyText"/>
      </w:pPr>
      <w:r>
        <w:rPr>
          <w:b/>
          <w:bCs/>
        </w:rPr>
        <w:t xml:space="preserve">Example 11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2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3" w:name="exm-semantic-macro-name"/>
    <w:p>
      <w:pPr>
        <w:pStyle w:val="BodyText"/>
      </w:pPr>
      <w:r>
        <w:rPr>
          <w:b/>
          <w:bCs/>
        </w:rPr>
        <w:t xml:space="preserve">Example 12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3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44" w:name="exm-semantic-decorator"/>
    <w:p>
      <w:pPr>
        <w:pStyle w:val="BodyText"/>
      </w:pPr>
      <w:r>
        <w:rPr>
          <w:b/>
          <w:bCs/>
        </w:rPr>
        <w:t xml:space="preserve">Example 13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44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45" w:name="exm-semantic-font"/>
    <w:p>
      <w:pPr>
        <w:pStyle w:val="BodyText"/>
      </w:pPr>
      <w:r>
        <w:rPr>
          <w:b/>
          <w:bCs/>
        </w:rPr>
        <w:t xml:space="preserve">Example 14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45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46" w:name="exm-semantic-latin-letter"/>
    <w:p>
      <w:pPr>
        <w:pStyle w:val="BodyText"/>
      </w:pPr>
      <w:r>
        <w:rPr>
          <w:b/>
          <w:bCs/>
        </w:rPr>
        <w:t xml:space="preserve">Example 15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46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47" w:name="exm-named-quantity"/>
    <w:p>
      <w:pPr>
        <w:pStyle w:val="BodyText"/>
      </w:pPr>
      <w:r>
        <w:rPr>
          <w:b/>
          <w:bCs/>
        </w:rPr>
        <w:t xml:space="preserve">Example 16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47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48" w:name="exm-semantic-delimiter"/>
    <w:p>
      <w:pPr>
        <w:pStyle w:val="BodyText"/>
      </w:pPr>
      <w:r>
        <w:rPr>
          <w:b/>
          <w:bCs/>
        </w:rPr>
        <w:t xml:space="preserve">Example 17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48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meets in the document’s notation table,</w:t>
      </w:r>
      <w:r>
        <w:t xml:space="preserve"> </w:t>
      </w:r>
      <w:r>
        <w:t xml:space="preserve">with its meaning.</w:t>
      </w:r>
    </w:p>
    <w:bookmarkStart w:id="49" w:name="exm-describe-symbol-not-macro"/>
    <w:p>
      <w:pPr>
        <w:pStyle w:val="BodyText"/>
      </w:pPr>
      <w:r>
        <w:rPr>
          <w:b/>
          <w:bCs/>
        </w:rPr>
        <w:t xml:space="preserve">Example 18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49"/>
    <w:bookmarkEnd w:id="50"/>
    <w:bookmarkStart w:id="53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1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2" w:name="exm-concise-expression"/>
    <w:p>
      <w:pPr>
        <w:pStyle w:val="BodyText"/>
      </w:pPr>
      <w:r>
        <w:rPr>
          <w:b/>
          <w:bCs/>
        </w:rPr>
        <w:t xml:space="preserve">Example 19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2"/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3"/>
    <w:bookmarkStart w:id="55" w:name="abstract-unused-subexpressions"/>
    <w:p>
      <w:pPr>
        <w:pStyle w:val="Heading2"/>
      </w:pPr>
      <w:r>
        <w:t xml:space="preserve">10 Abstracting sub-expressions you are not manipulating</w:t>
      </w:r>
    </w:p>
    <w:p>
      <w:pPr>
        <w:pStyle w:val="FirstParagraph"/>
      </w:pPr>
      <w:r>
        <w:t xml:space="preserve">Replace each sub-expression that you are not manipulating with a symbol that stands for it.</w:t>
      </w:r>
      <w:r>
        <w:t xml:space="preserve"> </w:t>
      </w:r>
      <w:r>
        <w:t xml:space="preserve">Keep a sub-expression written out only on the line where you are about to apply its definition, a rule or a theorem to it.</w:t>
      </w:r>
      <w:r>
        <w:t xml:space="preserve"> </w:t>
      </w:r>
      <w:r>
        <w:t xml:space="preserve">Every other line shows the symbol.</w:t>
      </w:r>
    </w:p>
    <w:p>
      <w:pPr>
        <w:pStyle w:val="BodyText"/>
      </w:pPr>
      <w:r>
        <w:t xml:space="preserve">This is one case of</w:t>
      </w:r>
      <w:r>
        <w:t xml:space="preserve"> </w:t>
      </w:r>
      <w:hyperlink w:anchor="making-expressions-concise">
        <w:r>
          <w:rPr>
            <w:rStyle w:val="Hyperlink"/>
          </w:rPr>
          <w:t xml:space="preserve">making each expression as concise as possible</w:t>
        </w:r>
      </w:hyperlink>
      <w:r>
        <w:t xml:space="preserve">.</w:t>
      </w:r>
      <w:r>
        <w:t xml:space="preserve"> </w:t>
      </w:r>
      <w:r>
        <w:t xml:space="preserve">It also asks for the habit behind that advice:</w:t>
      </w:r>
      <w:r>
        <w:t xml:space="preserve"> </w:t>
      </w:r>
      <w:r>
        <w:t xml:space="preserve">split a long expression into short named pieces,</w:t>
      </w:r>
      <w:r>
        <w:t xml:space="preserve"> </w:t>
      </w:r>
      <w:r>
        <w:t xml:space="preserve">and give each piece the symbol or</w:t>
      </w:r>
      <w:r>
        <w:t xml:space="preserve"> </w:t>
      </w:r>
      <w:hyperlink w:anchor="using-shared-macros">
        <w:r>
          <w:rPr>
            <w:rStyle w:val="Hyperlink"/>
          </w:rPr>
          <w:t xml:space="preserve">shared macro</w:t>
        </w:r>
      </w:hyperlink>
      <w:r>
        <w:t xml:space="preserve"> </w:t>
      </w:r>
      <w:r>
        <w:t xml:space="preserve">that names its concept.</w:t>
      </w:r>
    </w:p>
    <w:p>
      <w:pPr>
        <w:pStyle w:val="BodyText"/>
      </w:pPr>
      <w:r>
        <w:t xml:space="preserve">Choose the symbol to match the thing it names.</w:t>
      </w:r>
      <w:r>
        <w:t xml:space="preserve"> </w:t>
      </w:r>
      <w:r>
        <w:t xml:space="preserve">For the population mean</w:t>
      </w:r>
      <w:r>
        <w:t xml:space="preserve"> </w:t>
      </w:r>
      <w:r>
        <w:t xml:space="preserve">$\E{X}$</w:t>
      </w:r>
      <w:r>
        <w:t xml:space="preserve">, write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Add a subscript, such as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 only when the context holds a second mean and the reader could confuse the two.</w:t>
      </w:r>
      <w:r>
        <w:t xml:space="preserve"> </w:t>
      </w:r>
      <w:r>
        <w:t xml:space="preserve">State the abstraction once, in a sentence such as</w:t>
      </w:r>
      <w:r>
        <w:t xml:space="preserve"> </w:t>
      </w:r>
      <w:r>
        <w:t xml:space="preserve">“Let</w:t>
      </w:r>
      <w:r>
        <w:t xml:space="preserve"> </w:t>
      </w:r>
      <w:r>
        <w:t xml:space="preserve">$\mu = \E{X}$</w:t>
      </w:r>
      <w:r>
        <w:t xml:space="preserve">”</w:t>
      </w:r>
      <w:r>
        <w:t xml:space="preserve">,</w:t>
      </w:r>
      <w:r>
        <w:t xml:space="preserve"> </w:t>
      </w:r>
      <w:r>
        <w:t xml:space="preserve">before the first line that uses the symbol.</w:t>
      </w:r>
    </w:p>
    <w:bookmarkStart w:id="54" w:name="exm-abstract-unused-subexpressions"/>
    <w:p>
      <w:pPr>
        <w:pStyle w:val="BodyText"/>
      </w:pPr>
      <w:r>
        <w:rPr>
          <w:b/>
          <w:bCs/>
        </w:rPr>
        <w:t xml:space="preserve">Example 20 (Abstracting the population mean)</w:t>
      </w:r>
      <w:r>
        <w:t xml:space="preserve"> </w:t>
      </w:r>
      <w:r>
        <w:t xml:space="preserve">Suppose a derivation expands the variance of a random variable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w:r>
        <w:t xml:space="preserve">$$
    \begin{aligned}
    \E{\paren{X - \E{X}}^2}
    &amp;= \E{X^2 - 2 X \E{X} + \E{X}^2}\\
    &amp;= \E{X^2} - 2 \E{X} \E{X} + \E{X}^2
    \end{aligned}
    $$</w:t>
      </w:r>
    </w:p>
    <w:p>
      <w:pPr>
        <w:pStyle w:val="BlockText"/>
      </w:pPr>
      <w:r>
        <w:t xml:space="preserve">✅ Let</w:t>
      </w:r>
      <w:r>
        <w:t xml:space="preserve"> </w:t>
      </w:r>
      <w:r>
        <w:t xml:space="preserve">$\mu = \E{X}$</w:t>
      </w:r>
      <w:r>
        <w:t xml:space="preserve">.</w:t>
      </w:r>
    </w:p>
    <w:p>
      <w:pPr>
        <w:pStyle w:val="BlockText"/>
      </w:pPr>
      <w:r>
        <w:t xml:space="preserve">$$
    \begin{aligned}
    \E{\paren{X - \mu}^2}
    &amp;= \E{X^2 - 2 \mu X + \mu^2}
    &amp;&amp; \text{(expand the square)}\\
    &amp;= \E{X^2} - 2 \mu \E{X} + \mu^2
    &amp;&amp; \text{(linearity of expectation)}\\
    &amp;= \E{X^2} - 2 \mu \mu + \mu^2
    &amp;&amp; \text{(definition of } \mu \text{)}\\
    &amp;= \E{X^2} - \mu^2
    &amp;&amp; \text{(combine like terms)}
    \end{aligned}
    $$</w:t>
      </w:r>
    </w:p>
    <w:p>
      <w:pPr>
        <w:pStyle w:val="FirstParagraph"/>
      </w:pPr>
      <w:r>
        <w:t xml:space="preserve">In the ❌ version,</w:t>
      </w:r>
      <w:r>
        <w:t xml:space="preserve"> </w:t>
      </w:r>
      <w:r>
        <w:t xml:space="preserve">$\E{X}$</w:t>
      </w:r>
      <w:r>
        <w:t xml:space="preserve"> </w:t>
      </w:r>
      <w:r>
        <w:t xml:space="preserve">is a constant that no step manipulates until the last one,</w:t>
      </w:r>
      <w:r>
        <w:t xml:space="preserve"> </w:t>
      </w:r>
      <w:r>
        <w:t xml:space="preserve">yet it clutters every line.</w:t>
      </w:r>
      <w:r>
        <w:t xml:space="preserve"> </w:t>
      </w:r>
      <w:r>
        <w:t xml:space="preserve">In the ✅ version, only the line that uses the definition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needs to know what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stands for.</w:t>
      </w:r>
    </w:p>
    <w:bookmarkEnd w:id="54"/>
    <w:bookmarkEnd w:id="55"/>
    <w:bookmarkStart w:id="57" w:name="writing-dot-products"/>
    <w:p>
      <w:pPr>
        <w:pStyle w:val="Heading2"/>
      </w:pPr>
      <w:r>
        <w:t xml:space="preserve">11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56" w:name="exm-dot-product"/>
    <w:p>
      <w:pPr>
        <w:pStyle w:val="BodyText"/>
      </w:pPr>
      <w:r>
        <w:rPr>
          <w:b/>
          <w:bCs/>
        </w:rPr>
        <w:t xml:space="preserve">Example 21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56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57"/>
    <w:bookmarkStart w:id="60" w:name="writing-out-notational-shorthands"/>
    <w:p>
      <w:pPr>
        <w:pStyle w:val="Heading2"/>
      </w:pPr>
      <w:r>
        <w:t xml:space="preserve">12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59" w:name="exm-notational-shorthand"/>
    <w:p>
      <w:pPr>
        <w:pStyle w:val="BodyText"/>
      </w:pPr>
      <w:r>
        <w:rPr>
          <w:b/>
          <w:bCs/>
        </w:rPr>
        <w:t xml:space="preserve">Example 22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59"/>
    <w:bookmarkEnd w:id="60"/>
    <w:bookmarkStart w:id="62" w:name="stating-assumptions-before-using-them"/>
    <w:p>
      <w:pPr>
        <w:pStyle w:val="Heading2"/>
      </w:pPr>
      <w:r>
        <w:t xml:space="preserve">13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3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a hypothesis of a theorem;</w:t>
      </w:r>
    </w:p>
    <w:p>
      <w:pPr>
        <w:pStyle w:val="Compact"/>
        <w:numPr>
          <w:ilvl w:val="0"/>
          <w:numId w:val="1013"/>
        </w:numPr>
      </w:pPr>
      <w:r>
        <w:t xml:space="preserve">a case split;</w:t>
      </w:r>
    </w:p>
    <w:p>
      <w:pPr>
        <w:pStyle w:val="Compact"/>
        <w:numPr>
          <w:ilvl w:val="0"/>
          <w:numId w:val="1013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bookmarkStart w:id="61" w:name="exm-assumptions-first"/>
    <w:p>
      <w:pPr>
        <w:pStyle w:val="BodyText"/>
      </w:pPr>
      <w:r>
        <w:rPr>
          <w:b/>
          <w:bCs/>
        </w:rPr>
        <w:t xml:space="preserve">Example 23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39" Target="defining-terms.qmd#guidelines-for-defining-terms" TargetMode="External" /><Relationship Type="http://schemas.openxmlformats.org/officeDocument/2006/relationships/hyperlink" Id="rId34" Target="https://morrison-lab.github.io/mds/functions.html#def-codomain" TargetMode="External" /><Relationship Type="http://schemas.openxmlformats.org/officeDocument/2006/relationships/hyperlink" Id="rId33" Target="https://morrison-lab.github.io/mds/functions.html#def-domain" TargetMode="External" /><Relationship Type="http://schemas.openxmlformats.org/officeDocument/2006/relationships/hyperlink" Id="rId32" Target="https://morrison-lab.github.io/mds/functions.html#def-function" TargetMode="External" /><Relationship Type="http://schemas.openxmlformats.org/officeDocument/2006/relationships/hyperlink" Id="rId58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Relationship Type="http://schemas.openxmlformats.org/officeDocument/2006/relationships/hyperlink" Id="rId51" Target="teaching.qmd#build-every-unit-from-smaller-atomic-uni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39" Target="defining-terms.qmd#guidelines-for-defining-terms" TargetMode="External" /><Relationship Type="http://schemas.openxmlformats.org/officeDocument/2006/relationships/hyperlink" Id="rId34" Target="https://morrison-lab.github.io/mds/functions.html#def-codomain" TargetMode="External" /><Relationship Type="http://schemas.openxmlformats.org/officeDocument/2006/relationships/hyperlink" Id="rId33" Target="https://morrison-lab.github.io/mds/functions.html#def-domain" TargetMode="External" /><Relationship Type="http://schemas.openxmlformats.org/officeDocument/2006/relationships/hyperlink" Id="rId32" Target="https://morrison-lab.github.io/mds/functions.html#def-function" TargetMode="External" /><Relationship Type="http://schemas.openxmlformats.org/officeDocument/2006/relationships/hyperlink" Id="rId58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Relationship Type="http://schemas.openxmlformats.org/officeDocument/2006/relationships/hyperlink" Id="rId51" Target="teaching.qmd#build-every-unit-from-smaller-atomic-uni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2026-10-18T20:05:35Z</dcterms:created>
  <dcterms:modified xsi:type="dcterms:W3CDTF">2026-10-18T20:05:35Z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13:00:34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