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Edit out clusters of the words and sentence shapes</w:delText>
          </w:r>
        </w:del>
      </w:hyperlink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that mark machine-drafted prose.</w:delText>
        </w:r>
      </w:del>
    </w:p>
    <w:p>
      <w:pPr>
        <w:pStyle w:val="Compact"/>
        <w:numPr>
          <w:ilvl w:val="0"/>
          <w:numId w:val="1004"/>
        </w:numPr>
      </w:pPr>
      <w:hyperlink r:id="rId47">
        <w:ins w:id="6" w:author="PR Preview" w:date="2026-01-01T00:00:00Z">
          <w:r>
            <w:rPr>
              <w:rStyle w:val="Hyperlink"/>
            </w:rPr>
            <w:t xml:space="preserve">Edit out clusters of clichéd words and sentence shapes</w:t>
          </w:r>
        </w:ins>
      </w:hyperlink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which make prose read as generic or machine-drafted.</w:t>
        </w:r>
      </w:ins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2026-10-12T22:30:26Z</dcterms:created>
  <dcterms:modified xsi:type="dcterms:W3CDTF">2026-10-12T22:30:26Z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