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2026-10-26 23:59:30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01:02:01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1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1"/>
    <w:bookmarkStart w:id="33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2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2"/>
    <w:bookmarkEnd w:id="33"/>
    <w:bookmarkStart w:id="37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7"/>
    <w:bookmarkStart w:id="46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8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4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41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2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3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4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5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6"/>
    <w:bookmarkStart w:id="50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7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8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9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50"/>
    <w:bookmarkStart w:id="52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1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2"/>
    <w:bookmarkStart w:id="53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3"/>
    <w:bookmarkStart w:id="54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4"/>
    <w:bookmarkStart w:id="55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5"/>
    <w:bookmarkStart w:id="56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6"/>
    <w:bookmarkStart w:id="58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7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8"/>
    <w:bookmarkStart w:id="60" w:name="X5f21f12cbfc4e3df5e838110af4e52db506fec1"/>
    <w:p>
      <w:pPr>
        <w:pStyle w:val="Heading2"/>
      </w:pPr>
      <w:r>
        <w:t xml:space="preserve">20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17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17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17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17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59" w:name="exm-note-sheet-rows"/>
    <w:p>
      <w:pPr>
        <w:pStyle w:val="BodyText"/>
      </w:pPr>
      <w:r>
        <w:rPr>
          <w:b/>
          <w:bCs/>
        </w:rPr>
        <w:t xml:space="preserve">Example 5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59"/>
    <w:bookmarkEnd w:id="60"/>
    <w:bookmarkStart w:id="61" w:name="talk-about-the-ideas-not-the-notes"/>
    <w:p>
      <w:pPr>
        <w:pStyle w:val="Heading2"/>
      </w:pPr>
      <w:r>
        <w:t xml:space="preserve">21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8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8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1"/>
    <w:bookmarkStart w:id="63" w:name="write-grading-rubrics-as-checklists"/>
    <w:p>
      <w:pPr>
        <w:pStyle w:val="Heading2"/>
      </w:pPr>
      <w:r>
        <w:t xml:space="preserve">22 Write grading rubrics as checklists</w:t>
      </w:r>
    </w:p>
    <w:p>
      <w:pPr>
        <w:pStyle w:val="FirstParagraph"/>
      </w:pPr>
      <w:r>
        <w:t xml:space="preserve">Structure the rubric for most STEM questions as a checklist</w:t>
      </w:r>
      <w:r>
        <w:t xml:space="preserve"> </w:t>
      </w:r>
      <w:r>
        <w:t xml:space="preserve">(Ezra, 2026-10-26).</w:t>
      </w:r>
      <w:r>
        <w:t xml:space="preserve"> </w:t>
      </w:r>
      <w:r>
        <w:t xml:space="preserve">A grader then marks each item as earned or not,</w:t>
      </w:r>
      <w:r>
        <w:t xml:space="preserve"> </w:t>
      </w:r>
      <w:r>
        <w:t xml:space="preserve">and the points are the sum of the earned items.</w:t>
      </w:r>
      <w:r>
        <w:t xml:space="preserve"> </w:t>
      </w:r>
      <w:r>
        <w:t xml:space="preserve">A rubric written as a paragraph makes the grader reconstruct the items,</w:t>
      </w:r>
      <w:r>
        <w:t xml:space="preserve"> </w:t>
      </w:r>
      <w:r>
        <w:t xml:space="preserve">and two graders reconstruct different items.</w:t>
      </w:r>
    </w:p>
    <w:p>
      <w:pPr>
        <w:pStyle w:val="Compact"/>
        <w:numPr>
          <w:ilvl w:val="0"/>
          <w:numId w:val="1019"/>
        </w:numPr>
      </w:pPr>
      <w:r>
        <w:t xml:space="preserve">Write one checklist item per observable criterion,</w:t>
      </w:r>
      <w:r>
        <w:t xml:space="preserve"> </w:t>
      </w:r>
      <w:r>
        <w:t xml:space="preserve">and put its points first.</w:t>
      </w:r>
    </w:p>
    <w:p>
      <w:pPr>
        <w:pStyle w:val="Compact"/>
        <w:numPr>
          <w:ilvl w:val="0"/>
          <w:numId w:val="1019"/>
        </w:numPr>
      </w:pPr>
      <w:r>
        <w:t xml:space="preserve">Make the points of the items sum to the question’s points,</w:t>
      </w:r>
      <w:r>
        <w:t xml:space="preserve"> </w:t>
      </w:r>
      <w:r>
        <w:t xml:space="preserve">and state that total in the line that introduces the checklist.</w:t>
      </w:r>
    </w:p>
    <w:p>
      <w:pPr>
        <w:pStyle w:val="Compact"/>
        <w:numPr>
          <w:ilvl w:val="0"/>
          <w:numId w:val="1019"/>
        </w:numPr>
      </w:pPr>
      <w:r>
        <w:t xml:space="preserve">Write each item so that it is either met or not met.</w:t>
      </w:r>
      <w:r>
        <w:t xml:space="preserve"> </w:t>
      </w:r>
      <w:r>
        <w:t xml:space="preserve">Name the answer or the evidence that meets the criterion, as in</w:t>
      </w:r>
      <w:r>
        <w:t xml:space="preserve"> </w:t>
      </w:r>
      <w:r>
        <w:t xml:space="preserve">“cites the gap between training and CV MSE”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List an acceptable alternative answer as a sub-bullet without points</w:t>
      </w:r>
      <w:r>
        <w:t xml:space="preserve"> </w:t>
      </w:r>
      <w:r>
        <w:t xml:space="preserve">under the item it also satisfies,</w:t>
      </w:r>
      <w:r>
        <w:t xml:space="preserve"> </w:t>
      </w:r>
      <w:r>
        <w:t xml:space="preserve">so the items still sum to the question’s points.</w:t>
      </w:r>
      <w:r>
        <w:t xml:space="preserve"> </w:t>
      </w:r>
      <w:r>
        <w:t xml:space="preserve">Do not put the alternative in a separate paragraph.</w:t>
      </w:r>
    </w:p>
    <w:p>
      <w:pPr>
        <w:pStyle w:val="Compact"/>
        <w:numPr>
          <w:ilvl w:val="0"/>
          <w:numId w:val="1019"/>
        </w:numPr>
      </w:pPr>
      <w:r>
        <w:t xml:space="preserve">Keep the rubric in the solution, after the answer,</w:t>
      </w:r>
      <w:r>
        <w:t xml:space="preserve"> </w:t>
      </w:r>
      <w:r>
        <w:t xml:space="preserve">so a course that withholds solutions from students withholds the rubric too.</w:t>
      </w:r>
    </w:p>
    <w:p>
      <w:pPr>
        <w:pStyle w:val="Compact"/>
        <w:numPr>
          <w:ilvl w:val="0"/>
          <w:numId w:val="1019"/>
        </w:numPr>
      </w:pPr>
      <w:r>
        <w:t xml:space="preserve">Use another structure when a question has no separable criteria,</w:t>
      </w:r>
      <w:r>
        <w:t xml:space="preserve"> </w:t>
      </w:r>
      <w:r>
        <w:t xml:space="preserve">such as a single holistic judgment of a proof’s rigor.</w:t>
      </w:r>
    </w:p>
    <w:bookmarkStart w:id="62" w:name="exm-rubric-checklist"/>
    <w:p>
      <w:pPr>
        <w:pStyle w:val="FirstParagraph"/>
      </w:pPr>
      <w:r>
        <w:rPr>
          <w:b/>
          <w:bCs/>
        </w:rPr>
        <w:t xml:space="preserve">Example 6 (A rubric as a checklist)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Grading (6 points): two for</w:t>
      </w:r>
      <w:r>
        <w:t xml:space="preserve"> </w:t>
      </w:r>
      <m:oMath>
        <m:acc>
          <m:accPr>
            <m:chr m:val="⃗"/>
          </m:accPr>
          <m:e>
            <m:r>
              <m:t>r</m:t>
            </m:r>
          </m:e>
        </m:acc>
      </m:oMath>
      <w:r>
        <w:t xml:space="preserve">, one for</w:t>
      </w:r>
      <w:r>
        <w:t xml:space="preserve"> </w:t>
      </w:r>
      <w:r>
        <w:t xml:space="preserve">$\dprod{\vx}{\vec r} = 0$</w:t>
      </w:r>
      <w:r>
        <w:t xml:space="preserve">,</w:t>
      </w:r>
      <w:r>
        <w:t xml:space="preserve"> </w:t>
      </w:r>
      <w:r>
        <w:t xml:space="preserve">three for</w:t>
      </w:r>
      <w:r>
        <w:t xml:space="preserve"> </w:t>
      </w:r>
      <w:r>
        <w:t xml:space="preserve">“orthogonal”</w:t>
      </w:r>
      <w:r>
        <w:t xml:space="preserve"> </w:t>
      </w:r>
      <w:r>
        <w:t xml:space="preserve">with its link to the normal equation.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Grading (6 points):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 points: gives $\vresid = \tp{</w:t>
      </w:r>
      <w:r>
        <w:rPr>
          <w:rStyle w:val="CommentTok"/>
        </w:rPr>
        <w:t xml:space="preserve">[</w:t>
      </w:r>
      <w:r>
        <w:rPr>
          <w:rStyle w:val="OtherTok"/>
        </w:rPr>
        <w:t xml:space="preserve">-1, -1,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}$.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 point: computes $\dprod{\vx}{\vresid} = 0$.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 points: says $\vresid$ is orthogonal to $\vx$</w:t>
      </w:r>
      <w:r>
        <w:br/>
      </w:r>
      <w:r>
        <w:rPr>
          <w:rStyle w:val="NormalTok"/>
        </w:rPr>
        <w:t xml:space="preserve">  and links this orthogonality to the normal equation.</w:t>
      </w:r>
    </w:p>
    <w:p>
      <w:pPr>
        <w:pStyle w:val="FirstParagraph"/>
      </w:pPr>
      <w:r>
        <w:t xml:space="preserve">The checklist shows the grader each item to mark</w:t>
      </w:r>
      <w:r>
        <w:t xml:space="preserve"> </w:t>
      </w:r>
      <w:r>
        <w:t xml:space="preserve">and lets a script check that the points sum to the total.</w:t>
      </w:r>
    </w:p>
    <w:bookmarkEnd w:id="62"/>
    <w:bookmarkEnd w:id="63"/>
    <w:bookmarkStart w:id="67" w:name="Xcb579568ef754486ebde8b41ba4528bdf380eec"/>
    <w:p>
      <w:pPr>
        <w:pStyle w:val="Heading2"/>
      </w:pPr>
      <w:r>
        <w:t xml:space="preserve">23 Credit other courses without summarizing them</w:t>
      </w:r>
    </w:p>
    <w:p>
      <w:pPr>
        <w:pStyle w:val="Compact"/>
        <w:numPr>
          <w:ilvl w:val="0"/>
          <w:numId w:val="1020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64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20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5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0"/>
        </w:numPr>
      </w:pPr>
      <w:r>
        <w:t xml:space="preserve">Title a section by its topic, not by its author or course.</w:t>
      </w:r>
      <w:r>
        <w:t xml:space="preserve"> </w:t>
      </w:r>
      <w:hyperlink r:id="rId66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0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7"/>
    <w:bookmarkStart w:id="76" w:name="rules-that-apply-to-all-writing"/>
    <w:p>
      <w:pPr>
        <w:pStyle w:val="Heading2"/>
      </w:pPr>
      <w:r>
        <w:t xml:space="preserve">24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1"/>
        </w:numPr>
      </w:pPr>
      <w:hyperlink r:id="rId68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1"/>
        </w:numPr>
      </w:pPr>
      <w:hyperlink r:id="rId69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1"/>
        </w:numPr>
      </w:pPr>
      <w:hyperlink r:id="rId70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1"/>
        </w:numPr>
      </w:pPr>
      <w:hyperlink r:id="rId71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1"/>
        </w:numPr>
      </w:pPr>
      <w:hyperlink r:id="rId72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5" w:name="refs"/>
    <w:bookmarkStart w:id="74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73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72" Type="http://schemas.openxmlformats.org/officeDocument/2006/relationships/hyperlink" Target="avoid-cliches.qmd" TargetMode="External"/><Relationship Id="rId64" Type="http://schemas.openxmlformats.org/officeDocument/2006/relationships/hyperlink" Target="citations-evidence.qmd#adapting-another-courses-material" TargetMode="External"/><Relationship Id="rId66" Type="http://schemas.openxmlformats.org/officeDocument/2006/relationships/hyperlink" Target="citations-evidence.qmd#put-the-content-first" TargetMode="External"/><Relationship Id="rId65" Type="http://schemas.openxmlformats.org/officeDocument/2006/relationships/hyperlink" Target="citations-evidence.qmd#quote-the-original" TargetMode="External"/><Relationship Id="rId68" Type="http://schemas.openxmlformats.org/officeDocument/2006/relationships/hyperlink" Target="conciseness.qmd#lead-with-the-subject" TargetMode="External"/><Relationship Id="rId57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9" Type="http://schemas.openxmlformats.org/officeDocument/2006/relationships/hyperlink" Target="grammar.qmd#demonstrative-pronouns" TargetMode="External"/><Relationship Id="rId44" Type="http://schemas.openxmlformats.org/officeDocument/2006/relationships/hyperlink" Target="https://cran.r-project.org/package=broom" TargetMode="External"/><Relationship Id="rId39" Type="http://schemas.openxmlformats.org/officeDocument/2006/relationships/hyperlink" Target="https://cran.r-project.org/package=gtsummary" TargetMode="External"/><Relationship Id="rId73" Type="http://schemas.openxmlformats.org/officeDocument/2006/relationships/hyperlink" Target="https://doi.org/10.1073/pnas.1319030111" TargetMode="External"/><Relationship Id="rId47" Type="http://schemas.openxmlformats.org/officeDocument/2006/relationships/hyperlink" Target="https://dplyr.tidyverse.org/" TargetMode="External"/><Relationship Id="rId38" Type="http://schemas.openxmlformats.org/officeDocument/2006/relationships/hyperlink" Target="https://easystats.github.io/parameters/" TargetMode="External"/><Relationship Id="rId43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40" Type="http://schemas.openxmlformats.org/officeDocument/2006/relationships/hyperlink" Target="https://ggplot2.tidyverse.org/" TargetMode="External"/><Relationship Id="rId35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29" Type="http://schemas.openxmlformats.org/officeDocument/2006/relationships/hyperlink" Target="https://github.com/Morrison-Lab/gha/pull/1262" TargetMode="External"/><Relationship Id="rId45" Type="http://schemas.openxmlformats.org/officeDocument/2006/relationships/hyperlink" Target="https://github.com/d-morrison/rme" TargetMode="External"/><Relationship Id="rId36" Type="http://schemas.openxmlformats.org/officeDocument/2006/relationships/hyperlink" Target="https://github.com/intro-stat-learning/ISLP_labs" TargetMode="External"/><Relationship Id="rId51" Type="http://schemas.openxmlformats.org/officeDocument/2006/relationships/hyperlink" Target="https://github.com/quarto-ext/include-code-files" TargetMode="External"/><Relationship Id="rId42" Type="http://schemas.openxmlformats.org/officeDocument/2006/relationships/hyperlink" Target="https://strengejacke.github.io/ggeffects/" TargetMode="External"/><Relationship Id="rId41" Type="http://schemas.openxmlformats.org/officeDocument/2006/relationships/hyperlink" Target="https://strengejacke.github.io/sjPlot/" TargetMode="External"/><Relationship Id="rId49" Type="http://schemas.openxmlformats.org/officeDocument/2006/relationships/hyperlink" Target="https://tibble.tidyverse.org/" TargetMode="External"/><Relationship Id="rId48" Type="http://schemas.openxmlformats.org/officeDocument/2006/relationships/hyperlink" Target="https://tidyr.tidyverse.org/" TargetMode="External"/><Relationship Id="rId34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30" Type="http://schemas.openxmlformats.org/officeDocument/2006/relationships/hyperlink" Target="paper-organization.qmd#figures-and-tables" TargetMode="External"/><Relationship Id="rId71" Type="http://schemas.openxmlformats.org/officeDocument/2006/relationships/hyperlink" Target="word-choice.qmd#avoid-vague-and-metaphorical-language" TargetMode="External"/><Relationship Id="rId70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72" Type="http://schemas.openxmlformats.org/officeDocument/2006/relationships/hyperlink" Target="avoid-cliches.qmd" TargetMode="External"/><Relationship Id="rId64" Type="http://schemas.openxmlformats.org/officeDocument/2006/relationships/hyperlink" Target="citations-evidence.qmd#adapting-another-courses-material" TargetMode="External"/><Relationship Id="rId66" Type="http://schemas.openxmlformats.org/officeDocument/2006/relationships/hyperlink" Target="citations-evidence.qmd#put-the-content-first" TargetMode="External"/><Relationship Id="rId65" Type="http://schemas.openxmlformats.org/officeDocument/2006/relationships/hyperlink" Target="citations-evidence.qmd#quote-the-original" TargetMode="External"/><Relationship Id="rId68" Type="http://schemas.openxmlformats.org/officeDocument/2006/relationships/hyperlink" Target="conciseness.qmd#lead-with-the-subject" TargetMode="External"/><Relationship Id="rId57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9" Type="http://schemas.openxmlformats.org/officeDocument/2006/relationships/hyperlink" Target="grammar.qmd#demonstrative-pronouns" TargetMode="External"/><Relationship Id="rId44" Type="http://schemas.openxmlformats.org/officeDocument/2006/relationships/hyperlink" Target="https://cran.r-project.org/package=broom" TargetMode="External"/><Relationship Id="rId39" Type="http://schemas.openxmlformats.org/officeDocument/2006/relationships/hyperlink" Target="https://cran.r-project.org/package=gtsummary" TargetMode="External"/><Relationship Id="rId73" Type="http://schemas.openxmlformats.org/officeDocument/2006/relationships/hyperlink" Target="https://doi.org/10.1073/pnas.1319030111" TargetMode="External"/><Relationship Id="rId47" Type="http://schemas.openxmlformats.org/officeDocument/2006/relationships/hyperlink" Target="https://dplyr.tidyverse.org/" TargetMode="External"/><Relationship Id="rId38" Type="http://schemas.openxmlformats.org/officeDocument/2006/relationships/hyperlink" Target="https://easystats.github.io/parameters/" TargetMode="External"/><Relationship Id="rId43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40" Type="http://schemas.openxmlformats.org/officeDocument/2006/relationships/hyperlink" Target="https://ggplot2.tidyverse.org/" TargetMode="External"/><Relationship Id="rId35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29" Type="http://schemas.openxmlformats.org/officeDocument/2006/relationships/hyperlink" Target="https://github.com/Morrison-Lab/gha/pull/1262" TargetMode="External"/><Relationship Id="rId45" Type="http://schemas.openxmlformats.org/officeDocument/2006/relationships/hyperlink" Target="https://github.com/d-morrison/rme" TargetMode="External"/><Relationship Id="rId36" Type="http://schemas.openxmlformats.org/officeDocument/2006/relationships/hyperlink" Target="https://github.com/intro-stat-learning/ISLP_labs" TargetMode="External"/><Relationship Id="rId51" Type="http://schemas.openxmlformats.org/officeDocument/2006/relationships/hyperlink" Target="https://github.com/quarto-ext/include-code-files" TargetMode="External"/><Relationship Id="rId42" Type="http://schemas.openxmlformats.org/officeDocument/2006/relationships/hyperlink" Target="https://strengejacke.github.io/ggeffects/" TargetMode="External"/><Relationship Id="rId41" Type="http://schemas.openxmlformats.org/officeDocument/2006/relationships/hyperlink" Target="https://strengejacke.github.io/sjPlot/" TargetMode="External"/><Relationship Id="rId49" Type="http://schemas.openxmlformats.org/officeDocument/2006/relationships/hyperlink" Target="https://tibble.tidyverse.org/" TargetMode="External"/><Relationship Id="rId48" Type="http://schemas.openxmlformats.org/officeDocument/2006/relationships/hyperlink" Target="https://tidyr.tidyverse.org/" TargetMode="External"/><Relationship Id="rId34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30" Type="http://schemas.openxmlformats.org/officeDocument/2006/relationships/hyperlink" Target="paper-organization.qmd#figures-and-tables" TargetMode="External"/><Relationship Id="rId71" Type="http://schemas.openxmlformats.org/officeDocument/2006/relationships/hyperlink" Target="word-choice.qmd#avoid-vague-and-metaphorical-language" TargetMode="External"/><Relationship Id="rId70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2026-10-27T08:27:14Z</dcterms:created>
  <dcterms:modified xsi:type="dcterms:W3CDTF">2026-10-27T08:27:14Z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01:02:01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