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2026-10-23 23:02:19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15:16:40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7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distributes the sum over the terms,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19" w:name="name-a-step-by-its-standard-rule"/>
    <w:p>
      <w:pPr>
        <w:pStyle w:val="Heading3"/>
      </w:pPr>
      <w:r>
        <w:t xml:space="preserve">2.1 Name a step by its standard rule</w:t>
      </w:r>
    </w:p>
    <w:p>
      <w:pPr>
        <w:pStyle w:val="FirstParagraph"/>
      </w:pPr>
      <w:r>
        <w:t xml:space="preserve">Justify a line with the standard name of the rule it applies,</w:t>
      </w:r>
      <w:r>
        <w:t xml:space="preserve"> </w:t>
      </w:r>
      <w:r>
        <w:t xml:space="preserve">not an informal description of what it does to the symbols.</w:t>
      </w:r>
      <w:r>
        <w:t xml:space="preserve"> </w:t>
      </w:r>
      <w:r>
        <w:t xml:space="preserve">Write</w:t>
      </w:r>
      <w:r>
        <w:t xml:space="preserve"> </w:t>
      </w:r>
      <w:r>
        <w:t xml:space="preserve">“distribute the sum over the terms”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“split the sum”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“factor the constant out of the sum”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“pull out the constant”</w:t>
      </w:r>
      <w:r>
        <w:t xml:space="preserve">.</w:t>
      </w:r>
      <w:r>
        <w:t xml:space="preserve"> </w:t>
      </w:r>
      <w:r>
        <w:t xml:space="preserve">A standard name tells the reader which rule to check the line against;</w:t>
      </w:r>
      <w:r>
        <w:t xml:space="preserve"> </w:t>
      </w:r>
      <w:r>
        <w:t xml:space="preserve">an informal one only describes the change.</w:t>
      </w:r>
    </w:p>
    <w:bookmarkEnd w:id="19"/>
    <w:bookmarkStart w:id="21" w:name="applying-a-definition-is-a-step"/>
    <w:p>
      <w:pPr>
        <w:pStyle w:val="Heading3"/>
      </w:pPr>
      <w:r>
        <w:t xml:space="preserve">2.2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20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20"/>
    <w:bookmarkEnd w:id="21"/>
    <w:bookmarkStart w:id="22" w:name="using-a-fact-the-reader-has-not-seen"/>
    <w:p>
      <w:pPr>
        <w:pStyle w:val="Heading3"/>
      </w:pPr>
      <w:r>
        <w:t xml:space="preserve">2.3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2"/>
    <w:bookmarkStart w:id="26" w:name="long-derivations"/>
    <w:p>
      <w:pPr>
        <w:pStyle w:val="Heading3"/>
      </w:pPr>
      <w:r>
        <w:t xml:space="preserve">2.4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3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3"/>
    <w:bookmarkStart w:id="25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4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4"/>
    <w:bookmarkEnd w:id="25"/>
    <w:bookmarkEnd w:id="26"/>
    <w:bookmarkEnd w:id="27"/>
    <w:bookmarkStart w:id="30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9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9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30"/>
    <w:bookmarkStart w:id="32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1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1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2"/>
    <w:bookmarkStart w:id="37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3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34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5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6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6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7"/>
    <w:bookmarkStart w:id="40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8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8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w:r>
        <w:t xml:space="preserve">$\Outvar$</w:t>
      </w:r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w:r>
        <w:t xml:space="preserve">$\outvar$</w:t>
      </w:r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w:r>
        <w:t xml:space="preserve">$\predvar$</w:t>
      </w:r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w:r>
        <w:t xml:space="preserve">$\outvar$</w:t>
      </w:r>
      <w:r>
        <w:t xml:space="preserve"> </w:t>
      </w:r>
      <w:r>
        <w:t xml:space="preserve">as given”</w:t>
      </w:r>
      <w:r>
        <w:t xml:space="preserve">.</w:t>
      </w:r>
    </w:p>
    <w:bookmarkStart w:id="39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w:r>
        <w:t xml:space="preserve">$\predvar$</w:t>
      </w:r>
      <w:r>
        <w:t xml:space="preserve">, and let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w:r>
        <w:t xml:space="preserve">$\predvar$</w:t>
      </w:r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number you choose and</w:t>
      </w:r>
      <w:r>
        <w:t xml:space="preserve"> </w:t>
      </w:r>
      <w:r>
        <w:t xml:space="preserve">$\Outvar$</w:t>
      </w:r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39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40"/>
    <w:bookmarkStart w:id="45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2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2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4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</w:p>
    <w:bookmarkStart w:id="43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3"/>
    <w:bookmarkEnd w:id="44"/>
    <w:bookmarkEnd w:id="45"/>
    <w:bookmarkStart w:id="54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6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6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7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7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48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48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9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9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50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50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1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1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2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2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meets in the document’s notation table,</w:t>
      </w:r>
      <w:r>
        <w:t xml:space="preserve"> </w:t>
      </w:r>
      <w:r>
        <w:t xml:space="preserve">with its meaning.</w:t>
      </w:r>
    </w:p>
    <w:bookmarkStart w:id="53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3"/>
    <w:bookmarkEnd w:id="54"/>
    <w:bookmarkStart w:id="57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5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6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6"/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7"/>
    <w:bookmarkStart w:id="59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 population mean</w:t>
      </w:r>
      <w:r>
        <w:t xml:space="preserve"> </w:t>
      </w:r>
      <w:r>
        <w:t xml:space="preserve">$\E{X}$</w:t>
      </w:r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w:r>
        <w:t xml:space="preserve">$\mu = \E{X}$</w:t>
      </w:r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58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 variance 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w:r>
        <w:t xml:space="preserve">$$
    \begin{aligned}
    \E{\paren{X - \E{X}}^2}
    &amp;= \E{X^2 - 2 X \E{X} + \E{X}^2}\\
    &amp;= \E{X^2} - 2 \E{X} \E{X} + \E{X}^2
    \end{aligned}
    $$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$\mu = \E{X}$</w:t>
      </w:r>
      <w:r>
        <w:t xml:space="preserve">.</w:t>
      </w:r>
    </w:p>
    <w:p>
      <w:pPr>
        <w:pStyle w:val="BlockText"/>
      </w:pPr>
      <w:r>
        <w:t xml:space="preserve">$$
    \begin{aligned}
    \E{\paren{X - \mu}^2}
    &amp;= \E{X^2 - 2 \mu X + \mu^2}
    &amp;&amp; \text{(expand the square)}\\
    &amp;= \E{X^2} - 2 \mu \E{X} + \mu^2
    &amp;&amp; \text{(linearity of expectation)}\\
    &amp;= \E{X^2} - 2 \mu \mu + \mu^2
    &amp;&amp; \text{(definition of } \mu \text{)}\\
    &amp;= \E{X^2} - \mu^2
    &amp;&amp; \text{(combine like terms)}
    \end{aligned}
    $$</w:t>
      </w:r>
    </w:p>
    <w:p>
      <w:pPr>
        <w:pStyle w:val="FirstParagraph"/>
      </w:pPr>
      <w:r>
        <w:t xml:space="preserve">In the ❌ version,</w:t>
      </w:r>
      <w:r>
        <w:t xml:space="preserve"> </w:t>
      </w:r>
      <w:r>
        <w:t xml:space="preserve">$\E{X}$</w:t>
      </w:r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58"/>
    <w:bookmarkEnd w:id="59"/>
    <w:bookmarkStart w:id="61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60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60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1"/>
    <w:bookmarkStart w:id="64" w:name="writing-out-notational-shorthands"/>
    <w:p>
      <w:pPr>
        <w:pStyle w:val="Heading2"/>
      </w:pPr>
      <w:r>
        <w:t xml:space="preserve">12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62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63" w:name="exm-notational-shorthand"/>
    <w:p>
      <w:pPr>
        <w:pStyle w:val="BodyText"/>
      </w:pPr>
      <w:r>
        <w:rPr>
          <w:b/>
          <w:bCs/>
        </w:rPr>
        <w:t xml:space="preserve">Example 24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63"/>
    <w:bookmarkEnd w:id="64"/>
    <w:bookmarkStart w:id="69" w:name="stating-assumptions-before-using-them"/>
    <w:p>
      <w:pPr>
        <w:pStyle w:val="Heading2"/>
      </w:pPr>
      <w:r>
        <w:t xml:space="preserve">13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3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a hypothesis of a theorem;</w:t>
      </w:r>
    </w:p>
    <w:p>
      <w:pPr>
        <w:pStyle w:val="Compact"/>
        <w:numPr>
          <w:ilvl w:val="0"/>
          <w:numId w:val="1013"/>
        </w:numPr>
      </w:pPr>
      <w:r>
        <w:t xml:space="preserve">a case split;</w:t>
      </w:r>
    </w:p>
    <w:p>
      <w:pPr>
        <w:pStyle w:val="Compact"/>
        <w:numPr>
          <w:ilvl w:val="0"/>
          <w:numId w:val="1013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4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A condition that can fail is an assumption.</w:t>
      </w:r>
      <w:r>
        <w:t xml:space="preserve"> </w:t>
      </w:r>
      <w:r>
        <w:t xml:space="preserve">A parametrization is not:</w:t>
      </w:r>
      <w:r>
        <w:t xml:space="preserve"> </w:t>
      </w:r>
      <w:r>
        <w:t xml:space="preserve">it writes a quantity in terms of named parameters or pieces,</w:t>
      </w:r>
      <w:r>
        <w:t xml:space="preserve"> </w:t>
      </w:r>
      <w:r>
        <w:t xml:space="preserve">so it holds by definition and goes under</w:t>
      </w:r>
      <w:r>
        <w:t xml:space="preserve"> </w:t>
      </w:r>
      <w:r>
        <w:t xml:space="preserve">“Let:”</w:t>
      </w:r>
      <w:r>
        <w:t xml:space="preserve">.</w:t>
      </w:r>
      <w:r>
        <w:t xml:space="preserve"> </w:t>
      </w:r>
      <w:r>
        <w:t xml:space="preserve">Do not label a parametrization as an assumption,</w:t>
      </w:r>
      <w:r>
        <w:t xml:space="preserve"> </w:t>
      </w:r>
      <w:r>
        <w:t xml:space="preserve">because that tells the reader a condition is being imposed when none is.</w:t>
      </w:r>
    </w:p>
    <w:p>
      <w:pPr>
        <w:pStyle w:val="BodyText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65" w:name="exm-assumptions-first"/>
    <w:p>
      <w:pPr>
        <w:pStyle w:val="BodyText"/>
      </w:pPr>
      <w:r>
        <w:rPr>
          <w:b/>
          <w:bCs/>
        </w:rPr>
        <w:t xml:space="preserve">Example 25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65"/>
    <w:bookmarkStart w:id="66" w:name="exm-assumptions-bullet-list"/>
    <w:p>
      <w:pPr>
        <w:pStyle w:val="BodyText"/>
      </w:pPr>
      <w:r>
        <w:rPr>
          <w:b/>
          <w:bCs/>
        </w:rPr>
        <w:t xml:space="preserve">Example 26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5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5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5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66"/>
    <w:bookmarkStart w:id="67" w:name="exm-notation-bullet-list"/>
    <w:p>
      <w:pPr>
        <w:pStyle w:val="BodyText"/>
      </w:pPr>
      <w:r>
        <w:rPr>
          <w:b/>
          <w:bCs/>
        </w:rPr>
        <w:t xml:space="preserve">Example 27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6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6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67"/>
    <w:bookmarkStart w:id="68" w:name="exm-parametrization-is-notation"/>
    <w:p>
      <w:pPr>
        <w:pStyle w:val="BodyText"/>
      </w:pPr>
      <w:r>
        <w:rPr>
          <w:b/>
          <w:bCs/>
        </w:rPr>
        <w:t xml:space="preserve">Example 28 (Defining the noise is a parametrization, not an assumption)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Assume:</w:t>
      </w:r>
    </w:p>
    <w:p>
      <w:pPr>
        <w:pStyle w:val="Compact"/>
        <w:numPr>
          <w:ilvl w:val="0"/>
          <w:numId w:val="1017"/>
        </w:numPr>
      </w:pPr>
      <w:r>
        <w:t xml:space="preserve">the outcome variable is</w:t>
      </w:r>
      <w:r>
        <w:t xml:space="preserve"> </w:t>
      </w:r>
      <w:r>
        <w:t xml:space="preserve">$\Outvar = \truemeanf{\predvar} + \noise$</w:t>
      </w:r>
      <w:r>
        <w:t xml:space="preserve">, and</w:t>
      </w:r>
    </w:p>
    <w:p>
      <w:pPr>
        <w:pStyle w:val="Compact"/>
        <w:numPr>
          <w:ilvl w:val="0"/>
          <w:numId w:val="1017"/>
        </w:numPr>
      </w:pPr>
      <w:r>
        <w:t xml:space="preserve">the noise variable</w:t>
      </w:r>
      <w:r>
        <w:t xml:space="preserve"> </w:t>
      </w:r>
      <w:r>
        <w:t xml:space="preserve">$\noise$</w:t>
      </w:r>
      <w:r>
        <w:t xml:space="preserve"> </w:t>
      </w:r>
      <w:r>
        <w:t xml:space="preserve">has population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8"/>
        </w:numPr>
      </w:pPr>
      <w:r>
        <w:t xml:space="preserve">$\truemeanf{\predvar}$</w:t>
      </w:r>
      <w:r>
        <w:t xml:space="preserve"> </w:t>
      </w:r>
      <w:r>
        <w:t xml:space="preserve">be the population mean of the outcome variable</w:t>
      </w:r>
      <w:r>
        <w:t xml:space="preserve"> </w:t>
      </w:r>
      <w:r>
        <w:t xml:space="preserve">$\Outvar$</w:t>
      </w:r>
      <w:r>
        <w:t xml:space="preserve"> </w:t>
      </w:r>
      <w:r>
        <w:t xml:space="preserve">given the input value</w:t>
      </w:r>
      <w:r>
        <w:t xml:space="preserve"> </w:t>
      </w:r>
      <w:r>
        <w:t xml:space="preserve">$\predvar$</w:t>
      </w:r>
      <w:r>
        <w:t xml:space="preserve">, and</w:t>
      </w:r>
    </w:p>
    <w:p>
      <w:pPr>
        <w:pStyle w:val="Compact"/>
        <w:numPr>
          <w:ilvl w:val="0"/>
          <w:numId w:val="1018"/>
        </w:numPr>
      </w:pPr>
      <w:r>
        <w:t xml:space="preserve">$\noise = \Outvar - \truemeanf{\predvar}$</w:t>
      </w:r>
      <w:r>
        <w:t xml:space="preserve"> </w:t>
      </w:r>
      <w:r>
        <w:t xml:space="preserve">be the noise variable.</w:t>
      </w:r>
    </w:p>
    <w:p>
      <w:pPr>
        <w:pStyle w:val="BlockText"/>
      </w:pPr>
      <w:r>
        <w:t xml:space="preserve">Then</w:t>
      </w:r>
      <w:r>
        <w:t xml:space="preserve"> </w:t>
      </w:r>
      <w:r>
        <w:t xml:space="preserve">$\Outvar = \truemeanf{\predvar} + \noise$</w:t>
      </w:r>
      <w:r>
        <w:t xml:space="preserve">,</w:t>
      </w:r>
      <w:r>
        <w:t xml:space="preserve"> </w:t>
      </w:r>
      <w:r>
        <w:t xml:space="preserve">and the population mean of</w:t>
      </w:r>
      <w:r>
        <w:t xml:space="preserve"> </w:t>
      </w:r>
      <w:r>
        <w:t xml:space="preserve">$\noise$</w:t>
      </w:r>
      <w:r>
        <w:t xml:space="preserve"> </w:t>
      </w:r>
      <w:r>
        <w:t xml:space="preserve">given</w:t>
      </w:r>
      <w:r>
        <w:t xml:space="preserve"> </w:t>
      </w:r>
      <w:r>
        <w:t xml:space="preserve">$\predvar$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FirstParagraph"/>
      </w:pPr>
      <w:r>
        <w:t xml:space="preserve">In the ❌ version, the reader is told that the decomposition and the zero mean are conditions on the data.</w:t>
      </w:r>
      <w:r>
        <w:t xml:space="preserve"> </w:t>
      </w:r>
      <w:r>
        <w:t xml:space="preserve">They are not.</w:t>
      </w:r>
      <w:r>
        <w:t xml:space="preserve"> </w:t>
      </w:r>
      <w:r>
        <w:t xml:space="preserve">Defining</w:t>
      </w:r>
      <w:r>
        <w:t xml:space="preserve"> </w:t>
      </w:r>
      <w:r>
        <w:t xml:space="preserve">$\noise = \Outvar - \truemeanf{\predvar}$</w:t>
      </w:r>
      <w:r>
        <w:t xml:space="preserve"> </w:t>
      </w:r>
      <w:r>
        <w:t xml:space="preserve">makes both statements true</w:t>
      </w:r>
      <w:r>
        <w:t xml:space="preserve"> </w:t>
      </w:r>
      <w:r>
        <w:t xml:space="preserve">for every distribution of</w:t>
      </w:r>
      <w:r>
        <w:t xml:space="preserve"> </w:t>
      </w:r>
      <w:r>
        <w:t xml:space="preserve">$\Outvar$</w:t>
      </w:r>
      <w:r>
        <w:t xml:space="preserve"> </w:t>
      </w:r>
      <w:r>
        <w:t xml:space="preserve">that has a finite population mean.</w:t>
      </w:r>
      <w:r>
        <w:t xml:space="preserve"> </w:t>
      </w:r>
      <w:r>
        <w:t xml:space="preserve">The ✅ version puts the definitions under</w:t>
      </w:r>
      <w:r>
        <w:t xml:space="preserve"> </w:t>
      </w:r>
      <w:r>
        <w:t xml:space="preserve">“Let:”</w:t>
      </w:r>
      <w:r>
        <w:t xml:space="preserve"> </w:t>
      </w:r>
      <w:r>
        <w:t xml:space="preserve">and derives the zero mean.</w:t>
      </w:r>
      <w:r>
        <w:t xml:space="preserve"> </w:t>
      </w:r>
      <w:r>
        <w:t xml:space="preserve">A real assumption, such as the noise variable being independent of the input value,</w:t>
      </w:r>
      <w:r>
        <w:t xml:space="preserve"> </w:t>
      </w:r>
      <w:r>
        <w:t xml:space="preserve">can fail, so it belongs under</w:t>
      </w:r>
      <w:r>
        <w:t xml:space="preserve"> </w:t>
      </w:r>
      <w:r>
        <w:t xml:space="preserve">“Assume:”</w:t>
      </w:r>
      <w:r>
        <w:t xml:space="preserve">.</w:t>
      </w:r>
    </w:p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7" Type="http://schemas.openxmlformats.org/officeDocument/2006/relationships/hyperlink" Target="citations-evidence.qmd#trivial-and-trivially" TargetMode="External"/><Relationship Id="rId4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https://morrison-lab.github.io/mds/functions.html#def-codomain" TargetMode="External"/><Relationship Id="rId34" Type="http://schemas.openxmlformats.org/officeDocument/2006/relationships/hyperlink" Target="https://morrison-lab.github.io/mds/functions.html#def-domain" TargetMode="External"/><Relationship Id="rId33" Type="http://schemas.openxmlformats.org/officeDocument/2006/relationships/hyperlink" Target="https://morrison-lab.github.io/mds/functions.html#def-function" TargetMode="External"/><Relationship Id="rId62" Type="http://schemas.openxmlformats.org/officeDocument/2006/relationships/hyperlink" Target="https://morrison-lab.github.io/mds/notation.html#sec-notational-shorthands" TargetMode="External"/><Relationship Id="rId28" Type="http://schemas.openxmlformats.org/officeDocument/2006/relationships/hyperlink" Target="notation.qmd#one-operation-per-step" TargetMode="External"/><Relationship Id="rId55" Type="http://schemas.openxmlformats.org/officeDocument/2006/relationships/hyperlink" Target="teaching.qmd#build-every-unit-from-smaller-atomic-units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citations-evidence.qmd#trivial-and-trivially" TargetMode="External"/><Relationship Id="rId4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https://morrison-lab.github.io/mds/functions.html#def-codomain" TargetMode="External"/><Relationship Id="rId34" Type="http://schemas.openxmlformats.org/officeDocument/2006/relationships/hyperlink" Target="https://morrison-lab.github.io/mds/functions.html#def-domain" TargetMode="External"/><Relationship Id="rId33" Type="http://schemas.openxmlformats.org/officeDocument/2006/relationships/hyperlink" Target="https://morrison-lab.github.io/mds/functions.html#def-function" TargetMode="External"/><Relationship Id="rId62" Type="http://schemas.openxmlformats.org/officeDocument/2006/relationships/hyperlink" Target="https://morrison-lab.github.io/mds/notation.html#sec-notational-shorthands" TargetMode="External"/><Relationship Id="rId28" Type="http://schemas.openxmlformats.org/officeDocument/2006/relationships/hyperlink" Target="notation.qmd#one-operation-per-step" TargetMode="External"/><Relationship Id="rId55" Type="http://schemas.openxmlformats.org/officeDocument/2006/relationships/hyperlink" Target="teaching.qmd#build-every-unit-from-smaller-atomic-uni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2026-10-24T22:21:15Z</dcterms:created>
  <dcterms:modified xsi:type="dcterms:W3CDTF">2026-10-24T22:21:15Z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15:16:40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