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r>
        <w:t xml:space="preserve">Last modified: 2026-10-09 01:45:14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5" w:name="avoiding-double-inequalities"/>
    <w:p>
      <w:pPr>
        <w:pStyle w:val="Heading2"/>
      </w:pPr>
      <w:r>
        <w:t xml:space="preserve">1 Avoiding double inequalities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i/>
          <w:i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  <w:r>
        <w:t xml:space="preserve"> </w:t>
      </w: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2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2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4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3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3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4"/>
    <w:bookmarkEnd w:id="15"/>
    <w:bookmarkStart w:id="25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6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7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splits the sum,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7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19" w:name="applying-a-definition-is-a-step"/>
    <w:p>
      <w:pPr>
        <w:pStyle w:val="Heading3"/>
      </w:pPr>
      <w:r>
        <w:t xml:space="preserve">2.1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It is where the general rules meet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18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18"/>
    <w:bookmarkEnd w:id="19"/>
    <w:bookmarkStart w:id="20" w:name="using-a-fact-the-reader-has-not-seen"/>
    <w:p>
      <w:pPr>
        <w:pStyle w:val="Heading3"/>
      </w:pPr>
      <w:r>
        <w:t xml:space="preserve">2.2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0"/>
    <w:bookmarkStart w:id="24" w:name="long-derivations"/>
    <w:p>
      <w:pPr>
        <w:pStyle w:val="Heading3"/>
      </w:pPr>
      <w:r>
        <w:t xml:space="preserve">2.3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1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meets the inner derivative first</w:t>
      </w:r>
      <w:r>
        <w:t xml:space="preserve"> </w:t>
      </w:r>
      <w:r>
        <w:t xml:space="preserve">does not yet know what it is for.</w:t>
      </w:r>
    </w:p>
    <w:bookmarkEnd w:id="21"/>
    <w:bookmarkStart w:id="23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2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w:r>
        <w:t xml:space="preserve">$$
    \frac{\partial}{\partial \tilde{\beta}} \text{MSE}(\tilde{\beta})
    = \textcolor{blue}{\left(\frac{\partial}{\partial \tilde{\beta}} \tilde{e}\right)}
      \textcolor{red}{\left(\frac{\partial}{\partial \tilde{e}} \frac{1}{n} \tilde{e} \cdot \tilde{e}\right)}.
    $$</w:t>
      </w:r>
    </w:p>
    <w:p>
      <w:pPr>
        <w:pStyle w:val="FirstParagraph"/>
      </w:pPr>
      <w:r>
        <w:t xml:space="preserve">Separate blocks then find</w:t>
      </w:r>
      <w:r>
        <w:t xml:space="preserve"> </w:t>
      </w:r>
      <w:r>
        <w:t xml:space="preserve">$\textcolor{blue}{\frac{\partial}{\partial \tilde{\beta}} \tilde{e}} = \textcolor{blue}{\Phi^\top}$</w:t>
      </w:r>
      <w:r>
        <w:t xml:space="preserve"> </w:t>
      </w:r>
      <w:r>
        <w:t xml:space="preserve">and</w:t>
      </w:r>
      <w:r>
        <w:t xml:space="preserve"> </w:t>
      </w:r>
      <w:r>
        <w:t xml:space="preserve">$\textcolor{red}{\frac{\partial}{\partial \tilde{e}} \frac{1}{n} \tilde{e} \cdot \tilde{e}} = \textcolor{red}{\frac{2}{n} \tilde{e}}$</w:t>
      </w:r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w:r>
        <w:t xml:space="preserve">$\textcolor{blue}{\Phi^\top} \textcolor{red}{\left(\frac{2}{n} \tilde{e}\right)}$</w:t>
      </w:r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2"/>
    <w:bookmarkEnd w:id="23"/>
    <w:bookmarkEnd w:id="24"/>
    <w:bookmarkEnd w:id="25"/>
    <w:bookmarkStart w:id="28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7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7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28"/>
    <w:bookmarkStart w:id="30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29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29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bookmarkEnd w:id="30"/>
    <w:bookmarkStart w:id="33" w:name="matching-names-and-notation"/>
    <w:p>
      <w:pPr>
        <w:pStyle w:val="Heading2"/>
      </w:pPr>
      <w:r>
        <w:t xml:space="preserve">5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31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32" w:name="exm-name-matches-notation"/>
    <w:p>
      <w:pPr>
        <w:pStyle w:val="BodyText"/>
      </w:pPr>
      <w:r>
        <w:rPr>
          <w:b/>
          <w:bCs/>
        </w:rPr>
        <w:t xml:space="preserve">Example 8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32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End w:id="33"/>
    <w:bookmarkStart w:id="39" w:name="using-shared-macros"/>
    <w:p>
      <w:pPr>
        <w:pStyle w:val="Heading2"/>
      </w:pPr>
      <w:r>
        <w:t xml:space="preserve">6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34" w:name="exm-use-shared-macro"/>
    <w:p>
      <w:pPr>
        <w:pStyle w:val="BodyText"/>
      </w:pPr>
      <w:r>
        <w:rPr>
          <w:b/>
          <w:bCs/>
        </w:rPr>
        <w:t xml:space="preserve">Example 9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34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07"/>
        </w:numPr>
      </w:pPr>
      <w:r>
        <w:t xml:space="preserve">transposes</w:t>
      </w:r>
    </w:p>
    <w:p>
      <w:pPr>
        <w:pStyle w:val="Compact"/>
        <w:numPr>
          <w:ilvl w:val="0"/>
          <w:numId w:val="1007"/>
        </w:numPr>
      </w:pPr>
      <w:r>
        <w:t xml:space="preserve">hats on estimates</w:t>
      </w:r>
    </w:p>
    <w:p>
      <w:pPr>
        <w:pStyle w:val="Compact"/>
        <w:numPr>
          <w:ilvl w:val="0"/>
          <w:numId w:val="1007"/>
        </w:numPr>
      </w:pPr>
      <w:r>
        <w:t xml:space="preserve">expectations</w:t>
      </w:r>
    </w:p>
    <w:p>
      <w:pPr>
        <w:pStyle w:val="Compact"/>
        <w:numPr>
          <w:ilvl w:val="0"/>
          <w:numId w:val="1007"/>
        </w:numPr>
      </w:pPr>
      <w:r>
        <w:t xml:space="preserve">variances</w:t>
      </w:r>
    </w:p>
    <w:p>
      <w:pPr>
        <w:pStyle w:val="Compact"/>
        <w:numPr>
          <w:ilvl w:val="0"/>
          <w:numId w:val="1007"/>
        </w:numPr>
      </w:pPr>
      <w:r>
        <w:t xml:space="preserve">probabilities</w:t>
      </w:r>
    </w:p>
    <w:p>
      <w:pPr>
        <w:pStyle w:val="Compact"/>
        <w:numPr>
          <w:ilvl w:val="0"/>
          <w:numId w:val="1007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</w:p>
    <w:bookmarkStart w:id="35" w:name="exm-semantic-macro-name"/>
    <w:p>
      <w:pPr>
        <w:pStyle w:val="BodyText"/>
      </w:pPr>
      <w:r>
        <w:rPr>
          <w:b/>
          <w:bCs/>
        </w:rPr>
        <w:t xml:space="preserve">Example 10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35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36" w:name="exm-semantic-decorator"/>
    <w:p>
      <w:pPr>
        <w:pStyle w:val="BodyText"/>
      </w:pPr>
      <w:r>
        <w:rPr>
          <w:b/>
          <w:bCs/>
        </w:rPr>
        <w:t xml:space="preserve">Example 11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36"/>
    <w:p>
      <w:pPr>
        <w:pStyle w:val="BodyText"/>
      </w:pPr>
      <w:r>
        <w:t xml:space="preserve">Latin letters with a fixed role follow the same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37" w:name="exm-semantic-latin-letter"/>
    <w:p>
      <w:pPr>
        <w:pStyle w:val="BodyText"/>
      </w:pPr>
      <w:r>
        <w:rPr>
          <w:b/>
          <w:bCs/>
        </w:rPr>
        <w:t xml:space="preserve">Example 12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37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38" w:name="exm-named-quantity"/>
    <w:p>
      <w:pPr>
        <w:pStyle w:val="BodyText"/>
      </w:pPr>
      <w:r>
        <w:rPr>
          <w:b/>
          <w:bCs/>
        </w:rPr>
        <w:t xml:space="preserve">Example 13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38"/>
    <w:bookmarkEnd w:id="39"/>
    <w:bookmarkStart w:id="41" w:name="writing-dot-products"/>
    <w:p>
      <w:pPr>
        <w:pStyle w:val="Heading2"/>
      </w:pPr>
      <w:r>
        <w:t xml:space="preserve">7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40" w:name="exm-dot-product"/>
    <w:p>
      <w:pPr>
        <w:pStyle w:val="BodyText"/>
      </w:pPr>
      <w:r>
        <w:rPr>
          <w:b/>
          <w:bCs/>
        </w:rPr>
        <w:t xml:space="preserve">Example 14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40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09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09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09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41"/>
    <w:bookmarkStart w:id="44" w:name="writing-out-notational-shorthands"/>
    <w:p>
      <w:pPr>
        <w:pStyle w:val="Heading2"/>
      </w:pPr>
      <w:r>
        <w:t xml:space="preserve">8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43" w:name="exm-notational-shorthand"/>
    <w:p>
      <w:pPr>
        <w:pStyle w:val="BodyText"/>
      </w:pPr>
      <w:r>
        <w:rPr>
          <w:b/>
          <w:bCs/>
        </w:rPr>
        <w:t xml:space="preserve">Example 15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6" Target="citations-evidence.qmd#trivial-and-trivially" TargetMode="External" /><Relationship Type="http://schemas.openxmlformats.org/officeDocument/2006/relationships/hyperlink" Id="rId31" Target="defining-terms.qmd#guidelines-for-defining-terms" TargetMode="External" /><Relationship Type="http://schemas.openxmlformats.org/officeDocument/2006/relationships/hyperlink" Id="rId42" Target="https://morrison-lab.github.io/mds/notation.html#sec-notational-shorthands" TargetMode="External" /><Relationship Type="http://schemas.openxmlformats.org/officeDocument/2006/relationships/hyperlink" Id="rId26" Target="notation.qmd#one-operation-per-step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" Target="citations-evidence.qmd#trivial-and-trivially" TargetMode="External" /><Relationship Type="http://schemas.openxmlformats.org/officeDocument/2006/relationships/hyperlink" Id="rId31" Target="defining-terms.qmd#guidelines-for-defining-terms" TargetMode="External" /><Relationship Type="http://schemas.openxmlformats.org/officeDocument/2006/relationships/hyperlink" Id="rId42" Target="https://morrison-lab.github.io/mds/notation.html#sec-notational-shorthands" TargetMode="External" /><Relationship Type="http://schemas.openxmlformats.org/officeDocument/2006/relationships/hyperlink" Id="rId26" Target="notation.qmd#one-operation-per-step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2026-10-09T08:49:49Z</dcterms:created>
  <dcterms:modified xsi:type="dcterms:W3CDTF">2026-10-09T08:49:49Z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01:45:14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