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2026-10-29 15:25:43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7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Start w:id="26" w:name="Xefe13e73e12914023d8f2c0f69ba86b25ec3c0b"/>
    <w:p>
      <w:pPr>
        <w:pStyle w:val="Heading3"/>
      </w:pPr>
      <w:r>
        <w:t xml:space="preserve">1.7 Write each sentence in words or in math, not both</w:t>
      </w:r>
    </w:p>
    <w:p>
      <w:pPr>
        <w:pStyle w:val="FirstParagraph"/>
      </w:pPr>
      <w:r>
        <w:t xml:space="preserve">A sentence is either entirely in words or entirely in math.</w:t>
      </w:r>
      <w:r>
        <w:t xml:space="preserve"> </w:t>
      </w:r>
      <w:r>
        <w:t xml:space="preserve">A single inline expression inside a word sentence is fine,</w:t>
      </w:r>
      <w:r>
        <w:t xml:space="preserve"> </w:t>
      </w:r>
      <w:r>
        <w:t xml:space="preserve">as in</w:t>
      </w:r>
      <w:r>
        <w:t xml:space="preserve"> </w:t>
      </w:r>
      <w:r>
        <w:t xml:space="preserve">“the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equals the conditional mean”</w:t>
      </w:r>
      <w:r>
        <w:t xml:space="preserve">.</w:t>
      </w:r>
      <w:r>
        <w:t xml:space="preserve"> </w:t>
      </w:r>
      <w:r>
        <w:t xml:space="preserve"> </w:t>
      </w:r>
      <w:r>
        <w:t xml:space="preserve">A sentence that states one condition in words and a second condition as a relation between expressions is a hybrid.</w:t>
      </w:r>
      <w:r>
        <w:t xml:space="preserve"> </w:t>
      </w:r>
      <w:r>
        <w:t xml:space="preserve">Split it into two complete sentences:</w:t>
      </w:r>
      <w:r>
        <w:t xml:space="preserve"> </w:t>
      </w:r>
      <w:r>
        <w:t xml:space="preserve">the first states the result in words, and the second states it as a displayed formula.</w:t>
      </w:r>
    </w:p>
    <w:bookmarkStart w:id="25" w:name="exm-no-hybrid-sentences"/>
    <w:p>
      <w:pPr>
        <w:pStyle w:val="BodyText"/>
      </w:pPr>
      <w:r>
        <w:rPr>
          <w:b/>
          <w:bCs/>
        </w:rPr>
        <w:t xml:space="preserve">Example 4 (Splitting a hybrid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lockText"/>
      </w:pPr>
      <w:r>
        <w:t xml:space="preserve">✅ The reducible risk is zero if and only if the prediction function differs from the conditional mean with probability 0.</w:t>
      </w:r>
      <w:r>
        <w:t xml:space="preserve"> 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≠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❌ version puts the first condition in words and the second in math.</w:t>
      </w:r>
      <w:r>
        <w:t xml:space="preserve"> </w:t>
      </w:r>
      <w:r>
        <w:t xml:space="preserve">The ✅ version says the result once in words and once in math.</w:t>
      </w:r>
    </w:p>
    <w:bookmarkEnd w:id="25"/>
    <w:bookmarkEnd w:id="26"/>
    <w:bookmarkEnd w:id="27"/>
    <w:bookmarkStart w:id="29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8" w:name="exm-introduce-theorem"/>
    <w:p>
      <w:pPr>
        <w:pStyle w:val="BodyText"/>
      </w:pPr>
      <w:r>
        <w:rPr>
          <w:b/>
          <w:bCs/>
        </w:rPr>
        <w:t xml:space="preserve">Example 5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8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9"/>
    <w:bookmarkStart w:id="32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30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p>
      <w:pPr>
        <w:pStyle w:val="BodyText"/>
      </w:pPr>
      <w:r>
        <w:t xml:space="preserve">A key equation always goes in a display, never inline.</w:t>
      </w:r>
      <w:r>
        <w:t xml:space="preserve"> </w:t>
      </w:r>
      <w:r>
        <w:t xml:space="preserve">A key equation is any of these:</w:t>
      </w:r>
    </w:p>
    <w:p>
      <w:pPr>
        <w:pStyle w:val="Compact"/>
        <w:numPr>
          <w:ilvl w:val="0"/>
          <w:numId w:val="1001"/>
        </w:numPr>
      </w:pPr>
      <w:r>
        <w:t xml:space="preserve">the conclusion of a theorem, lemma, or proposition;</w:t>
      </w:r>
    </w:p>
    <w:p>
      <w:pPr>
        <w:pStyle w:val="Compact"/>
        <w:numPr>
          <w:ilvl w:val="0"/>
          <w:numId w:val="1001"/>
        </w:numPr>
      </w:pPr>
      <w:r>
        <w:t xml:space="preserve">an equation that a proof builds toward;</w:t>
      </w:r>
    </w:p>
    <w:p>
      <w:pPr>
        <w:pStyle w:val="Compact"/>
        <w:numPr>
          <w:ilvl w:val="0"/>
          <w:numId w:val="1001"/>
        </w:numPr>
      </w:pPr>
      <w:r>
        <w:t xml:space="preserve">an equation that a later step refers to.</w:t>
      </w:r>
    </w:p>
    <w:p>
      <w:pPr>
        <w:pStyle w:val="FirstParagraph"/>
      </w:pPr>
      <w:r>
        <w:t xml:space="preserve">In a proof, a sentence such as</w:t>
      </w:r>
      <w:r>
        <w:t xml:space="preserve"> </w:t>
      </w:r>
      <w:r>
        <w:t xml:space="preserve">“so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hides the result in the middle of a line.</w:t>
      </w:r>
      <w:r>
        <w:t xml:space="preserve"> </w:t>
      </w:r>
      <w:r>
        <w:t xml:space="preserve">Put the equation in a display and let the sentence introduce it.</w:t>
      </w:r>
      <w:r>
        <w:t xml:space="preserve"> </w:t>
      </w:r>
      <w:r>
        <w:t xml:space="preserve">Use inline math for symbols and short expressions inside a sentence,</w:t>
      </w:r>
      <w:r>
        <w:t xml:space="preserve"> </w:t>
      </w:r>
      <w:r>
        <w:t xml:space="preserve">not for the equation the reader is meant to remember.</w:t>
      </w:r>
    </w:p>
    <w:bookmarkStart w:id="31" w:name="exm-key-equation-displayed"/>
    <w:p>
      <w:pPr>
        <w:pStyle w:val="BodyText"/>
      </w:pPr>
      <w:r>
        <w:rPr>
          <w:b/>
          <w:bCs/>
        </w:rPr>
        <w:t xml:space="preserve">Example 6 (Displaying the normal equations)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Setting the gradient to zero yields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lockText"/>
      </w:pPr>
      <w:r>
        <w:t xml:space="preserve">✅ Setting the gradient to zero yields the normal equations: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In the ❌ version the result sits in the middle of a line, where the reader can miss it.</w:t>
      </w:r>
      <w:r>
        <w:t xml:space="preserve"> </w:t>
      </w:r>
      <w:r>
        <w:t xml:space="preserve">The ✅ version gives it a line of its own.</w:t>
      </w:r>
    </w:p>
    <w:bookmarkEnd w:id="31"/>
    <w:bookmarkEnd w:id="32"/>
    <w:bookmarkStart w:id="33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3"/>
    <w:bookmarkStart w:id="34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4"/>
    <w:bookmarkStart w:id="35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5"/>
    <w:bookmarkStart w:id="36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6"/>
    <w:bookmarkStart w:id="40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7" w:name="exm-cite-results"/>
    <w:p>
      <w:pPr>
        <w:pStyle w:val="BodyText"/>
      </w:pPr>
      <w:r>
        <w:rPr>
          <w:b/>
          <w:bCs/>
        </w:rPr>
        <w:t xml:space="preserve">Example 7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7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8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9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40"/>
    <w:bookmarkStart w:id="42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41" w:name="exm-never-inline"/>
    <w:p>
      <w:pPr>
        <w:pStyle w:val="BodyText"/>
      </w:pPr>
      <w:r>
        <w:rPr>
          <w:b/>
          <w:bCs/>
        </w:rPr>
        <w:t xml:space="preserve">Example 8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41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42"/>
    <w:bookmarkStart w:id="54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4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5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6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47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8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9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50"/>
          <w:p/>
        </w:tc>
      </w:tr>
    </w:tbl>
    <w:bookmarkStart w:id="53" w:name="refs"/>
    <w:bookmarkStart w:id="52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51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9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8" Target="defining-terms/derivation-format.qmd" TargetMode="External" /><Relationship Type="http://schemas.openxmlformats.org/officeDocument/2006/relationships/hyperlink" Id="rId46" Target="grammar.qmd#avoid-garden-path-sentences" TargetMode="External" /><Relationship Type="http://schemas.openxmlformats.org/officeDocument/2006/relationships/hyperlink" Id="rId47" Target="grammar.qmd#def-restrictive-clause" TargetMode="External" /><Relationship Type="http://schemas.openxmlformats.org/officeDocument/2006/relationships/hyperlink" Id="rId48" Target="grammar.qmd#relative-pronouns" TargetMode="External" /><Relationship Type="http://schemas.openxmlformats.org/officeDocument/2006/relationships/hyperlink" Id="rId39" Target="https://github.com/Morrison-Lab/gha" TargetMode="External" /><Relationship Type="http://schemas.openxmlformats.org/officeDocument/2006/relationships/hyperlink" Id="rId51" Target="https://jmlr.csail.mit.edu/reviewing-papers/knuth_mathematical_writing.pdf" TargetMode="External" /><Relationship Type="http://schemas.openxmlformats.org/officeDocument/2006/relationships/hyperlink" Id="rId30" Target="https://quarto.org/docs/authoring/cross-references.html#equations" TargetMode="External" /><Relationship Type="http://schemas.openxmlformats.org/officeDocument/2006/relationships/hyperlink" Id="rId44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3" Target="notation.qmd#show-why-you-need-a-result-before-you-derive-it" TargetMode="External" /><Relationship Type="http://schemas.openxmlformats.org/officeDocument/2006/relationships/hyperlink" Id="rId4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8" Target="defining-terms/derivation-format.qmd" TargetMode="External" /><Relationship Type="http://schemas.openxmlformats.org/officeDocument/2006/relationships/hyperlink" Id="rId46" Target="grammar.qmd#avoid-garden-path-sentences" TargetMode="External" /><Relationship Type="http://schemas.openxmlformats.org/officeDocument/2006/relationships/hyperlink" Id="rId47" Target="grammar.qmd#def-restrictive-clause" TargetMode="External" /><Relationship Type="http://schemas.openxmlformats.org/officeDocument/2006/relationships/hyperlink" Id="rId48" Target="grammar.qmd#relative-pronouns" TargetMode="External" /><Relationship Type="http://schemas.openxmlformats.org/officeDocument/2006/relationships/hyperlink" Id="rId39" Target="https://github.com/Morrison-Lab/gha" TargetMode="External" /><Relationship Type="http://schemas.openxmlformats.org/officeDocument/2006/relationships/hyperlink" Id="rId51" Target="https://jmlr.csail.mit.edu/reviewing-papers/knuth_mathematical_writing.pdf" TargetMode="External" /><Relationship Type="http://schemas.openxmlformats.org/officeDocument/2006/relationships/hyperlink" Id="rId30" Target="https://quarto.org/docs/authoring/cross-references.html#equations" TargetMode="External" /><Relationship Type="http://schemas.openxmlformats.org/officeDocument/2006/relationships/hyperlink" Id="rId44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3" Target="notation.qmd#show-why-you-need-a-result-before-you-derive-it" TargetMode="External" /><Relationship Type="http://schemas.openxmlformats.org/officeDocument/2006/relationships/hyperlink" Id="rId4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2026-10-29T22:28:39Z</dcterms:created>
  <dcterms:modified xsi:type="dcterms:W3CDTF">2026-10-29T22:28:39Z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