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17:13:10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2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2"/>
    <w:bookmarkStart w:id="33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3"/>
    <w:bookmarkStart w:id="41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5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5"/>
    <w:bookmarkStart w:id="40" w:name="example-pythagorean-theorem"/>
    <w:p>
      <w:pPr>
        <w:pStyle w:val="Heading3"/>
      </w:pPr>
      <w:r>
        <w:t xml:space="preserve">6.2 Example: Pythagorean theorem</w:t>
      </w:r>
    </w:p>
    <w:bookmarkStart w:id="3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8"/>
    <w:bookmarkStart w:id="39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9"/>
    <w:bookmarkEnd w:id="40"/>
    <w:bookmarkEnd w:id="41"/>
    <w:bookmarkStart w:id="49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2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3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3"/>
    <w:bookmarkStart w:id="44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4"/>
    <w:bookmarkStart w:id="45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5"/>
    <w:bookmarkStart w:id="46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7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2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7"/>
    <w:bookmarkStart w:id="48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quarto.org/docs/authoring/cross-references.html#theorems-and-proofs" TargetMode="External" /><Relationship Type="http://schemas.openxmlformats.org/officeDocument/2006/relationships/hyperlink" Id="rId42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quarto.org/docs/authoring/cross-references.html#theorems-and-proofs" TargetMode="External" /><Relationship Type="http://schemas.openxmlformats.org/officeDocument/2006/relationships/hyperlink" Id="rId42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2026-10-20T00:16:24Z</dcterms:created>
  <dcterms:modified xsi:type="dcterms:W3CDTF">2026-10-20T00:16:24Z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