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del w:id="3" w:author="PR Preview" w:date="2026-01-01T00:00:00Z">
        <w:r>
          <w:delText xml:space="preserve">16 Writing out notational shorthands</w:delText>
        </w:r>
      </w:del>
    </w:p>
    <w:p>
      <w:pPr>
        <w:pStyle w:val="Heading2"/>
      </w:pPr>
      <w:ins w:id="4" w:author="PR Preview" w:date="2026-01-01T00:00:00Z">
        <w:r>
          <w:t xml:space="preserve">16 Writing the log-odds</w:t>
        </w:r>
      </w:ins>
    </w:p>
    <w:p>
      <w:pPr>
        <w:pStyle w:val="FirstParagraph"/>
      </w:pPr>
      <w:ins w:id="5" w:author="PR Preview" w:date="2026-01-01T00:00:00Z">
        <w:r>
          <w:t xml:space="preserve">Use</w:t>
        </w:r>
      </w:ins>
      <w:ins w:id="6" w:author="PR Preview" w:date="2026-01-01T00:00:00Z">
        <w:r>
          <w:t xml:space="preserve"> </w:t>
        </w:r>
      </w:ins>
      <m:oMath>
        <m:r>
          <m:t>η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(the Greek letter eta) for the log-odds, not</w:t>
        </w:r>
      </w:ins>
      <w:ins w:id="9" w:author="PR Preview" w:date="2026-01-01T00:00:00Z">
        <w:r>
          <w:t xml:space="preserve"> </w:t>
        </w:r>
      </w:ins>
      <m:oMath>
        <m:r>
          <m:t>z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or another letter.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In a group that uses shared macros (see</w:t>
        </w:r>
      </w:ins>
      <w:ins w:id="14" w:author="PR Preview" w:date="2026-01-01T00:00:00Z">
        <w:r>
          <w:t xml:space="preserve"> </w:t>
        </w:r>
      </w:ins>
      <w:hyperlink w:anchor="using-shared-macros">
        <w:ins w:id="15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6" w:author="PR Preview" w:date="2026-01-01T00:00:00Z">
        <w:r>
          <w:t xml:space="preserve">),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write it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\logodds</w:t>
        </w:r>
      </w:ins>
      <w:ins w:id="21" w:author="PR Preview" w:date="2026-01-01T00:00:00Z">
        <w:r>
          <w:t xml:space="preserve">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Use it wherever the quantity is the log-odds, including the argument of the logistic</w:t>
        </w:r>
      </w:ins>
      <w:ins w:id="24" w:author="PR Preview" w:date="2026-01-01T00:00:00Z">
        <w:r>
          <w:t xml:space="preserve"> </w:t>
        </w:r>
      </w:ins>
      <w:hyperlink r:id="rId24">
        <w:ins w:id="2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that the same quantity has one symbol in every chapter and figure.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Label a figure axis that shows it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“Log-odds,</w:t>
        </w:r>
      </w:ins>
      <w:ins w:id="33" w:author="PR Preview" w:date="2026-01-01T00:00:00Z">
        <w:r>
          <w:t xml:space="preserve"> </w:t>
        </w:r>
      </w:ins>
      <m:oMath>
        <m:r>
          <m:t>η</m:t>
        </m:r>
      </m:oMath>
      <w:ins w:id="34" w:author="PR Preview" w:date="2026-01-01T00:00:00Z">
        <w:r>
          <w:t xml:space="preserve">”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(see</w:t>
        </w:r>
      </w:ins>
      <w:ins w:id="37" w:author="PR Preview" w:date="2026-01-01T00:00:00Z">
        <w:r>
          <w:t xml:space="preserve"> </w:t>
        </w:r>
      </w:ins>
      <w:hyperlink r:id="rId72">
        <w:ins w:id="38" w:author="PR Preview" w:date="2026-01-01T00:00:00Z">
          <w:r>
            <w:rPr>
              <w:rStyle w:val="Hyperlink"/>
            </w:rPr>
            <w:t xml:space="preserve">Scientific figures</w:t>
          </w:r>
        </w:ins>
      </w:hyperlink>
      <w:ins w:id="39" w:author="PR Preview" w:date="2026-01-01T00:00:00Z">
        <w:r>
          <w:t xml:space="preserve">).</w:t>
        </w:r>
      </w:ins>
    </w:p>
    <w:bookmarkStart w:id="73" w:name="exm-log-odds-symbol"/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Example 27 (Argument of the logistic function)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 </w:t>
        </w:r>
      </w:ins>
    </w:p>
    <w:p>
      <w:pPr>
        <w:pStyle w:val="BlockText"/>
      </w:pPr>
      <w:ins w:id="43" w:author="PR Preview" w:date="2026-01-01T00:00:00Z">
        <w:r>
          <w:t xml:space="preserve">❌ The logistic</w:t>
        </w:r>
      </w:ins>
      <w:ins w:id="44" w:author="PR Preview" w:date="2026-01-01T00:00:00Z">
        <w:r>
          <w:t xml:space="preserve"> </w:t>
        </w:r>
      </w:ins>
      <w:hyperlink r:id="rId24">
        <w:ins w:id="4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is</w:t>
        </w:r>
      </w:ins>
      <w:ins w:id="4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ins w:id="49" w:author="PR Preview" w:date="2026-01-01T00:00:00Z">
        <w:r>
          <w:t xml:space="preserve">, evaluated at the log-odds</w:t>
        </w:r>
      </w:ins>
      <w:ins w:id="50" w:author="PR Preview" w:date="2026-01-01T00:00:00Z">
        <w:r>
          <w:t xml:space="preserve"> </w:t>
        </w:r>
      </w:ins>
      <m:oMath>
        <m:r>
          <m:t>z</m:t>
        </m:r>
      </m:oMath>
      <w:ins w:id="51" w:author="PR Preview" w:date="2026-01-01T00:00:00Z">
        <w:r>
          <w:t xml:space="preserve">.</w:t>
        </w:r>
      </w:ins>
    </w:p>
    <w:p>
      <w:pPr>
        <w:pStyle w:val="BlockText"/>
      </w:pPr>
      <w:ins w:id="52" w:author="PR Preview" w:date="2026-01-01T00:00:00Z">
        <w:r>
          <w:t xml:space="preserve">✅ The logistic function is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ins w:id="54" w:author="PR Preview" w:date="2026-01-01T00:00:00Z">
        <w:r>
          <w:t xml:space="preserve">, evaluated at the log-odds</w:t>
        </w:r>
      </w:ins>
      <w:ins w:id="55" w:author="PR Preview" w:date="2026-01-01T00:00:00Z">
        <w:r>
          <w:t xml:space="preserve"> </w:t>
        </w:r>
      </w:ins>
      <m:oMath>
        <m:r>
          <m:t>η</m:t>
        </m:r>
      </m:oMath>
      <w:ins w:id="56" w:author="PR Preview" w:date="2026-01-01T00:00:00Z">
        <w:r>
          <w:t xml:space="preserve">.</w:t>
        </w:r>
      </w:ins>
    </w:p>
    <w:p>
      <w:pPr>
        <w:pStyle w:val="FirstParagraph"/>
      </w:pPr>
      <w:ins w:id="57" w:author="PR Preview" w:date="2026-01-01T00:00:00Z">
        <w:r>
          <w:t xml:space="preserve">The ✅ version uses the lab’s symbol for the log-odds, so a reader who has seen</w:t>
        </w:r>
      </w:ins>
      <w:ins w:id="58" w:author="PR Preview" w:date="2026-01-01T00:00:00Z">
        <w:r>
          <w:t xml:space="preserve"> </w:t>
        </w:r>
      </w:ins>
      <m:oMath>
        <m:r>
          <m:t>η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elsewhere recognizes it here.</w:t>
        </w:r>
      </w:ins>
    </w:p>
    <w:bookmarkEnd w:id="73"/>
    <w:bookmarkEnd w:id="74"/>
    <w:bookmarkStart w:id="77" w:name="writing-out-notational-shorthands"/>
    <w:p>
      <w:pPr>
        <w:pStyle w:val="Heading2"/>
      </w:pPr>
      <w:ins w:id="61" w:author="PR Preview" w:date="2026-01-01T00:00:00Z">
        <w:r>
          <w:t xml:space="preserve">17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del w:id="62" w:author="PR Preview" w:date="2026-01-01T00:00:00Z">
        <w:r>
          <w:rPr>
            <w:b/>
            <w:bCs/>
          </w:rPr>
          <w:delText xml:space="preserve">Example 27 (Writing out the limits of a sum and the range of an index)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For a discrete random variable</w:delText>
        </w:r>
      </w:del>
      <w:del w:id="65" w:author="PR Preview" w:date="2026-01-01T00:00:00Z">
        <w:r>
          <w:delText xml:space="preserve"> </w:delText>
        </w:r>
      </w:del>
      <m:oMath>
        <m:r>
          <m:t>X</m:t>
        </m:r>
      </m:oMath>
      <w:del w:id="66" w:author="PR Preview" w:date="2026-01-01T00:00:00Z">
        <w:r>
          <w:delText xml:space="preserve">:</w:delText>
        </w:r>
      </w:del>
    </w:p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Example 28 (Writing out the limits of a sum and the range of an index)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a discrete random variable</w:t>
        </w:r>
      </w:ins>
      <w:ins w:id="70" w:author="PR Preview" w:date="2026-01-01T00:00:00Z">
        <w:r>
          <w:t xml:space="preserve"> </w:t>
        </w:r>
      </w:ins>
      <m:oMath>
        <m:r>
          <m:t>X</m:t>
        </m:r>
      </m:oMath>
      <w:ins w:id="71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del w:id="72" w:author="PR Preview" w:date="2026-01-01T00:00:00Z">
        <w:r>
          <w:delText xml:space="preserve">17 Stating assumptions before using them</w:delText>
        </w:r>
      </w:del>
    </w:p>
    <w:p>
      <w:pPr>
        <w:pStyle w:val="Heading2"/>
      </w:pPr>
      <w:ins w:id="73" w:author="PR Preview" w:date="2026-01-01T00:00:00Z">
        <w:r>
          <w:t xml:space="preserve">18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del w:id="74" w:author="PR Preview" w:date="2026-01-01T00:00:00Z">
        <w:r>
          <w:rPr>
            <w:b/>
            <w:bCs/>
          </w:rPr>
          <w:delText xml:space="preserve">Example 28 (Stating the restriction on</w:delText>
        </w:r>
      </w:del>
      <w:del w:id="75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76" w:author="PR Preview" w:date="2026-01-01T00:00:00Z">
        <w:r>
          <w:rPr>
            <w:b/>
            <w:bCs/>
          </w:rPr>
          <w:delText xml:space="preserve"> </w:delText>
        </w:r>
      </w:del>
      <w:del w:id="77" w:author="PR Preview" w:date="2026-01-01T00:00:00Z">
        <w:r>
          <w:rPr>
            <w:b/>
            <w:bCs/>
          </w:rPr>
          <w:delText xml:space="preserve">before using it)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To show that</w:delText>
        </w:r>
      </w:del>
      <w:del w:id="8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is a strict local minimizer of</w:delText>
        </w:r>
      </w:del>
      <w:del w:id="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84" w:author="PR Preview" w:date="2026-01-01T00:00:00Z">
        <w:r>
          <w:delText xml:space="preserve">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we show that</w:delText>
        </w:r>
      </w:del>
      <w:del w:id="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every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93" w:author="PR Preview" w:date="2026-01-01T00:00:00Z">
        <w:r>
          <w:rPr>
            <w:b/>
            <w:bCs/>
          </w:rPr>
          <w:t xml:space="preserve">Example 29 (Stating the restriction on</w:t>
        </w:r>
      </w:ins>
      <w:ins w:id="9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95" w:author="PR Preview" w:date="2026-01-01T00:00:00Z">
        <w:r>
          <w:rPr>
            <w:b/>
            <w:bCs/>
          </w:rPr>
          <w:t xml:space="preserve"> </w:t>
        </w:r>
      </w:ins>
      <w:ins w:id="96" w:author="PR Preview" w:date="2026-01-01T00:00:00Z">
        <w:r>
          <w:rPr>
            <w:b/>
            <w:bCs/>
          </w:rPr>
          <w:t xml:space="preserve">before using it)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To show that</w:t>
        </w:r>
      </w:ins>
      <w:ins w:id="9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a strict local minimizer of</w:t>
        </w:r>
      </w:ins>
      <w:ins w:id="1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we show that</w:t>
        </w:r>
      </w:ins>
      <w:ins w:id="1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for every</w:t>
        </w:r>
      </w:ins>
      <w:ins w:id="109" w:author="PR Preview" w:date="2026-01-01T00:00:00Z">
        <w:r>
          <w:t xml:space="preserve"> </w:t>
        </w:r>
      </w:ins>
      <m:oMath>
        <m:r>
          <m:t>x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del w:id="112" w:author="PR Preview" w:date="2026-01-01T00:00:00Z">
        <w:r>
          <w:rPr>
            <w:b/>
            <w:bCs/>
          </w:rPr>
          <w:delText xml:space="preserve">Example 29 (Writing several assumptions as one list)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 </w:delText>
        </w:r>
      </w:del>
    </w:p>
    <w:p>
      <w:pPr>
        <w:pStyle w:val="BodyText"/>
      </w:pPr>
      <w:ins w:id="115" w:author="PR Preview" w:date="2026-01-01T00:00:00Z">
        <w:r>
          <w:rPr>
            <w:b/>
            <w:bCs/>
          </w:rPr>
          <w:t xml:space="preserve">Example 30 (Writing several assumptions as one list)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del w:id="118" w:author="PR Preview" w:date="2026-01-01T00:00:00Z">
        <w:r>
          <w:rPr>
            <w:b/>
            <w:bCs/>
          </w:rPr>
          <w:delText xml:space="preserve">Example 30 (Writing several names as one list)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 </w:delText>
        </w:r>
      </w:del>
    </w:p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Example 31 (Writing several names as one list)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del w:id="124" w:author="PR Preview" w:date="2026-01-01T00:00:00Z">
        <w:r>
          <w:rPr>
            <w:b/>
            <w:bCs/>
          </w:rPr>
          <w:delText xml:space="preserve">Example 31 (Defining the noise is a parametrization, not an assumption)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 </w:delText>
        </w:r>
      </w:del>
    </w:p>
    <w:p>
      <w:pPr>
        <w:pStyle w:val="BodyText"/>
      </w:pPr>
      <w:ins w:id="127" w:author="PR Preview" w:date="2026-01-01T00:00:00Z">
        <w:r>
          <w:rPr>
            <w:b/>
            <w:bCs/>
          </w:rPr>
          <w:t xml:space="preserve">Example 32 (Defining the noise is a parametrization, not an assumption)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2026-10-29T00:35:47Z</dcterms:created>
  <dcterms:modified xsi:type="dcterms:W3CDTF">2026-10-29T00:35:47Z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