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2026-10-29 14:35:32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15:16:13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5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encounter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4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21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Y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a</w:t>
      </w:r>
      <w:r>
        <w:t xml:space="preserve"> </w:t>
      </w:r>
      <w:hyperlink r:id="rId2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at one covariate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instead.</w:t>
      </w:r>
    </w:p>
    <w:bookmarkEnd w:id="21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2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4"/>
    <w:bookmarkEnd w:id="25"/>
    <w:bookmarkStart w:id="27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6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  <w:r>
        <w:t xml:space="preserve"> 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6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7"/>
    <w:bookmarkStart w:id="30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8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p>
      <w:pPr>
        <w:pStyle w:val="BodyText"/>
      </w:pPr>
      <w:r>
        <w:t xml:space="preserve">A key equation always goes in a display, never inline.</w:t>
      </w:r>
      <w:r>
        <w:t xml:space="preserve"> </w:t>
      </w:r>
      <w:r>
        <w:t xml:space="preserve">A key equation is any of these:</w:t>
      </w:r>
    </w:p>
    <w:p>
      <w:pPr>
        <w:pStyle w:val="Compact"/>
        <w:numPr>
          <w:ilvl w:val="0"/>
          <w:numId w:val="1001"/>
        </w:numPr>
      </w:pPr>
      <w:r>
        <w:t xml:space="preserve">the conclusion of a theorem, lemma, or proposition;</w:t>
      </w:r>
    </w:p>
    <w:p>
      <w:pPr>
        <w:pStyle w:val="Compact"/>
        <w:numPr>
          <w:ilvl w:val="0"/>
          <w:numId w:val="1001"/>
        </w:numPr>
      </w:pPr>
      <w:r>
        <w:t xml:space="preserve">an equation that a proof builds toward;</w:t>
      </w:r>
    </w:p>
    <w:p>
      <w:pPr>
        <w:pStyle w:val="Compact"/>
        <w:numPr>
          <w:ilvl w:val="0"/>
          <w:numId w:val="1001"/>
        </w:numPr>
      </w:pPr>
      <w:r>
        <w:t xml:space="preserve">an equation that a later step refers to.</w:t>
      </w:r>
    </w:p>
    <w:p>
      <w:pPr>
        <w:pStyle w:val="FirstParagraph"/>
      </w:pPr>
      <w:r>
        <w:t xml:space="preserve">In a proof, a sentence such as</w:t>
      </w:r>
      <w:r>
        <w:t xml:space="preserve"> </w:t>
      </w:r>
      <w:r>
        <w:t xml:space="preserve">“so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“this gives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”</w:t>
      </w:r>
      <w:r>
        <w:t xml:space="preserve"> </w:t>
      </w:r>
      <w:r>
        <w:t xml:space="preserve">hides the result in the middle of a line.</w:t>
      </w:r>
      <w:r>
        <w:t xml:space="preserve"> </w:t>
      </w:r>
      <w:r>
        <w:t xml:space="preserve">Put the equation in a display and let the sentence introduce it.</w:t>
      </w:r>
      <w:r>
        <w:t xml:space="preserve"> </w:t>
      </w:r>
      <w:r>
        <w:t xml:space="preserve">Use inline math for symbols and short expressions inside a sentence,</w:t>
      </w:r>
      <w:r>
        <w:t xml:space="preserve"> </w:t>
      </w:r>
      <w:r>
        <w:t xml:space="preserve">not for the equation the reader is meant to remember.</w:t>
      </w:r>
    </w:p>
    <w:bookmarkStart w:id="29" w:name="exm-key-equation-displayed"/>
    <w:p>
      <w:pPr>
        <w:pStyle w:val="BodyText"/>
      </w:pPr>
      <w:r>
        <w:rPr>
          <w:b/>
          <w:bCs/>
        </w:rPr>
        <w:t xml:space="preserve">Example 5 (Displaying the normal equations)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Setting the gradient to zero yields</w:t>
      </w:r>
      <w:r>
        <w:t xml:space="preserve"> </w:t>
      </w:r>
      <m:oMath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t>D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lockText"/>
      </w:pPr>
      <w:r>
        <w:t xml:space="preserve">✅ Setting the gradient to zero yields the normal equations:</w:t>
      </w:r>
    </w:p>
    <w:p>
      <w:pPr>
        <w:pStyle w:val="Block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In the ❌ version the result sits in the middle of a line, where the reader can miss it.</w:t>
      </w:r>
      <w:r>
        <w:t xml:space="preserve"> </w:t>
      </w:r>
      <w:r>
        <w:t xml:space="preserve">The ✅ version gives it a line of its own.</w:t>
      </w:r>
    </w:p>
    <w:bookmarkEnd w:id="29"/>
    <w:bookmarkEnd w:id="30"/>
    <w:bookmarkStart w:id="31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31"/>
    <w:bookmarkStart w:id="32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32"/>
    <w:bookmarkStart w:id="33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3"/>
    <w:bookmarkStart w:id="34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4"/>
    <w:bookmarkStart w:id="38" w:name="cite-results-not-solutions"/>
    <w:p>
      <w:pPr>
        <w:pStyle w:val="Heading2"/>
      </w:pPr>
      <w:r>
        <w:t xml:space="preserve">8 Cite results, not solutions</w:t>
      </w:r>
    </w:p>
    <w:p>
      <w:pPr>
        <w:pStyle w:val="FirstParagraph"/>
      </w:pPr>
      <w:r>
        <w:t xml:space="preserve">A proof, or any derivation that supports a result, never cites a solution to an exercise.</w:t>
      </w:r>
      <w:r>
        <w:t xml:space="preserve"> </w:t>
      </w:r>
      <w:r>
        <w:t xml:space="preserve">A solution answers an exercise for the reader who attempted the exercise,</w:t>
      </w:r>
      <w:r>
        <w:t xml:space="preserve"> </w:t>
      </w:r>
      <w:r>
        <w:t xml:space="preserve">so the solution is not a result that other arguments can build on.</w:t>
      </w:r>
      <w:r>
        <w:t xml:space="preserve"> </w:t>
      </w:r>
      <w:r>
        <w:t xml:space="preserve">Follow each solution that contains a reusable result with a result div (a theorem, lemma, corollary or proposition) that states the claim.</w:t>
      </w:r>
      <w:r>
        <w:t xml:space="preserve"> </w:t>
      </w:r>
      <w:r>
        <w:t xml:space="preserve">The test is whether the solution contains a result that other arguments could use,</w:t>
      </w:r>
      <w:r>
        <w:t xml:space="preserve"> </w:t>
      </w:r>
      <w:r>
        <w:t xml:space="preserve">not whether any later argument currently relies on it.</w:t>
      </w:r>
      <w:r>
        <w:t xml:space="preserve"> </w:t>
      </w:r>
      <w:r>
        <w:t xml:space="preserve">Cite that result div in every argument that uses the claim.</w:t>
      </w:r>
    </w:p>
    <w:bookmarkStart w:id="35" w:name="exm-cite-results"/>
    <w:p>
      <w:pPr>
        <w:pStyle w:val="BodyText"/>
      </w:pPr>
      <w:r>
        <w:rPr>
          <w:b/>
          <w:bCs/>
        </w:rPr>
        <w:t xml:space="preserve">Example 6 (Citing a result div)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Solution 9 and Solution 10, the claim holds.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Lemma 4 and Lemma 5, the claim holds.</w:t>
      </w:r>
    </w:p>
    <w:p>
      <w:pPr>
        <w:pStyle w:val="FirstParagraph"/>
      </w:pPr>
      <w:r>
        <w:t xml:space="preserve">The ❌ version sends the reader to answers that the notes may reorder, hide or drop.</w:t>
      </w:r>
      <w:r>
        <w:t xml:space="preserve"> </w:t>
      </w:r>
      <w:r>
        <w:t xml:space="preserve">The ✅ version cites claims that the notes state, number and keep.</w:t>
      </w:r>
    </w:p>
    <w:bookmarkEnd w:id="35"/>
    <w:p>
      <w:pPr>
        <w:pStyle w:val="BodyText"/>
      </w:pPr>
      <w:r>
        <w:t xml:space="preserve">Add an exercise and its solution just before every result div that you add or edit.</w:t>
      </w:r>
      <w:r>
        <w:t xml:space="preserve"> </w:t>
      </w:r>
      <w:r>
        <w:t xml:space="preserve">The exercise does not state the result.</w:t>
      </w:r>
      <w:r>
        <w:t xml:space="preserve"> </w:t>
      </w:r>
      <w:r>
        <w:t xml:space="preserve">It asks the student to find the result, such as</w:t>
      </w:r>
      <w:r>
        <w:t xml:space="preserve"> </w:t>
      </w:r>
      <w:r>
        <w:t xml:space="preserve">“find an expression for the spread of a random variable using its first two moments”</w:t>
      </w:r>
      <w:r>
        <w:t xml:space="preserve">,</w:t>
      </w:r>
      <w:r>
        <w:t xml:space="preserve"> </w:t>
      </w:r>
      <w:r>
        <w:t xml:space="preserve">so that the reader discovers the result,</w:t>
      </w:r>
      <w:r>
        <w:t xml:space="preserve"> </w:t>
      </w:r>
      <w:r>
        <w:t xml:space="preserve">and the result div then states what the solution showed.</w:t>
      </w:r>
      <w:r>
        <w:t xml:space="preserve"> </w:t>
      </w:r>
      <w:r>
        <w:t xml:space="preserve">Every later argument cites the result div.</w:t>
      </w:r>
    </w:p>
    <w:p>
      <w:pPr>
        <w:pStyle w:val="BodyText"/>
      </w:pPr>
      <w:r>
        <w:t xml:space="preserve">The one exception to the citation rule follows from that pairing:</w:t>
      </w:r>
      <w:r>
        <w:t xml:space="preserve"> </w:t>
      </w:r>
      <w:r>
        <w:t xml:space="preserve">the proof of the result itself may cite the solution of the exercise that asks for that same result.</w:t>
      </w:r>
      <w:r>
        <w:t xml:space="preserve"> </w:t>
      </w:r>
      <w:r>
        <w:t xml:space="preserve">Such a proof does no derivation of its own: it is the one line</w:t>
      </w:r>
      <w:r>
        <w:t xml:space="preserve"> </w:t>
      </w:r>
      <w:r>
        <w:rPr>
          <w:rStyle w:val="VerbatimChar"/>
        </w:rPr>
        <w:t xml:space="preserve">By @sol-x.</w:t>
      </w:r>
      <w:r>
        <w:t xml:space="preserve">, with one citation.</w:t>
      </w:r>
      <w:r>
        <w:t xml:space="preserve"> </w:t>
      </w:r>
      <w:r>
        <w:t xml:space="preserve">This is the one place where a proof cites a solution.</w:t>
      </w:r>
      <w:r>
        <w:t xml:space="preserve"> </w:t>
      </w:r>
      <w:hyperlink r:id="rId36">
        <w:r>
          <w:rPr>
            <w:rStyle w:val="Hyperlink"/>
          </w:rPr>
          <w:t xml:space="preserve">Derivation format</w:t>
        </w:r>
      </w:hyperlink>
      <w:r>
        <w:t xml:space="preserve"> </w:t>
      </w:r>
      <w:r>
        <w:t xml:space="preserve">describes the exercise, solution, theorem and proof pattern.</w:t>
      </w:r>
      <w:r>
        <w:t xml:space="preserve"> </w:t>
      </w:r>
      <w:r>
        <w:t xml:space="preserve">When the exercise has several parts, the line may cite each part, as in the line</w:t>
      </w:r>
      <w:r>
        <w:t xml:space="preserve"> </w:t>
      </w:r>
      <w:r>
        <w:rPr>
          <w:rStyle w:val="VerbatimChar"/>
        </w:rPr>
        <w:t xml:space="preserve">By @sol-x and @sol-x-part2.</w:t>
      </w:r>
      <w:r>
        <w:t xml:space="preserve">, which ends in a period.</w:t>
      </w:r>
      <w:r>
        <w:t xml:space="preserve"> </w:t>
      </w:r>
      <w:r>
        <w:t xml:space="preserve">A proof with its own steps or display math cites result divs instead.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in</w:t>
      </w:r>
      <w:r>
        <w:t xml:space="preserve"> </w:t>
      </w:r>
      <w:hyperlink r:id="rId37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flags a</w:t>
      </w:r>
      <w:r>
        <w:t xml:space="preserve"> </w:t>
      </w:r>
      <w:r>
        <w:rPr>
          <w:rStyle w:val="VerbatimChar"/>
        </w:rPr>
        <w:t xml:space="preserve">@sol-</w:t>
      </w:r>
      <w:r>
        <w:t xml:space="preserve"> </w:t>
      </w:r>
      <w:r>
        <w:t xml:space="preserve">cross-reference inside a proof or result div.</w:t>
      </w:r>
      <w:r>
        <w:t xml:space="preserve"> </w:t>
      </w:r>
      <w:r>
        <w:t xml:space="preserve">It lets a one-line proof with one citation pass.</w:t>
      </w:r>
      <w:r>
        <w:t xml:space="preserve"> </w:t>
      </w:r>
      <w:r>
        <w:t xml:space="preserve">For a one-line proof that cites several parts of the paired solution, the HTML comment</w:t>
      </w:r>
      <w:r>
        <w:t xml:space="preserve"> </w:t>
      </w:r>
      <w:r>
        <w:rPr>
          <w:rStyle w:val="VerbatimChar"/>
        </w:rPr>
        <w:t xml:space="preserve">&lt;!-- check-solution-citations: allow --&gt;</w:t>
      </w:r>
      <w:r>
        <w:t xml:space="preserve"> </w:t>
      </w:r>
      <w:r>
        <w:t xml:space="preserve">on that line tells the workflow to skip that line.</w:t>
      </w:r>
      <w:r>
        <w:t xml:space="preserve"> </w:t>
      </w:r>
      <w:r>
        <w:t xml:space="preserve">Quarto removes the comment from the rendered page.</w:t>
      </w:r>
      <w:r>
        <w:t xml:space="preserve"> </w:t>
      </w:r>
      <w:r>
        <w:t xml:space="preserve">The workflow does not check prose outside proof and result divs, but the rule still applies there.</w:t>
      </w:r>
    </w:p>
    <w:bookmarkEnd w:id="38"/>
    <w:bookmarkStart w:id="40" w:name="keep-each-div-minimal-cite-never-inline"/>
    <w:p>
      <w:pPr>
        <w:pStyle w:val="Heading2"/>
      </w:pPr>
      <w:r>
        <w:t xml:space="preserve">9 Keep each div minimal: cite, never inline</w:t>
      </w:r>
    </w:p>
    <w:p>
      <w:pPr>
        <w:pStyle w:val="FirstParagraph"/>
      </w:pPr>
      <w:r>
        <w:t xml:space="preserve">Every result div states one result and every solution div answers one exercise, and each does no more.</w:t>
      </w:r>
      <w:r>
        <w:t xml:space="preserve"> </w:t>
      </w:r>
      <w:r>
        <w:t xml:space="preserve">When a proof or a solution needs a step that a reader could use elsewhere, state that step as its own result div, preceded by its exercise and solution, and cite that result div.</w:t>
      </w:r>
      <w:r>
        <w:t xml:space="preserve"> </w:t>
      </w:r>
      <w:r>
        <w:t xml:space="preserve">Never derive the step inline.</w:t>
      </w:r>
      <w:r>
        <w:t xml:space="preserve"> </w:t>
      </w:r>
      <w:r>
        <w:t xml:space="preserve">A solution decomposes the same way: each solution is the smallest argument that answers its exercise, and it cites result divs for the steps that other arguments also use.</w:t>
      </w:r>
    </w:p>
    <w:bookmarkStart w:id="39" w:name="exm-never-inline"/>
    <w:p>
      <w:pPr>
        <w:pStyle w:val="BodyText"/>
      </w:pPr>
      <w:r>
        <w:rPr>
          <w:b/>
          <w:bCs/>
        </w:rPr>
        <w:t xml:space="preserve">Example 7 (Citing a step instead of deriving it)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By the chain rule, the gradient of each summand is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residual and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the design vector, and summing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 the claim.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Proof.</w:t>
      </w:r>
      <w:r>
        <w:t xml:space="preserve"> </w:t>
      </w:r>
      <w:r>
        <w:t xml:space="preserve">Lemma 4 gives the gradient of each summand,</w:t>
      </w:r>
      <w:r>
        <w:t xml:space="preserve"> </w:t>
      </w:r>
      <w:r>
        <w:t xml:space="preserve">and Lemma 5 says that the gradient of a sum is the sum of the gradients,</w:t>
      </w:r>
      <w:r>
        <w:t xml:space="preserve"> </w:t>
      </w:r>
      <w:r>
        <w:t xml:space="preserve">so the gradient of the total is the sum of</w:t>
      </w:r>
      <w:r>
        <w:t xml:space="preserve"> </w:t>
      </w:r>
      <m:oMath>
        <m:r>
          <m:t>2</m:t>
        </m:r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FirstParagraph"/>
      </w:pPr>
      <w:r>
        <w:t xml:space="preserve">The ❌ proof derives inline the result that Lemma 4 states, so a reader who needs that step elsewhere has nowhere to cite.</w:t>
      </w:r>
    </w:p>
    <w:bookmarkEnd w:id="39"/>
    <w:p>
      <w:pPr>
        <w:pStyle w:val="BodyText"/>
      </w:pPr>
      <w:r>
        <w:t xml:space="preserve">No div repeats reasoning that it could cite instead.</w:t>
      </w:r>
      <w:r>
        <w:t xml:space="preserve"> </w:t>
      </w:r>
      <w:r>
        <w:t xml:space="preserve">Two arguments that share a step cite one result div, so a correction to the step is made once.</w:t>
      </w:r>
    </w:p>
    <w:p>
      <w:pPr>
        <w:pStyle w:val="BodyText"/>
      </w:pPr>
      <w:r>
        <w:t xml:space="preserve">No check can decide whether a step is reusable, so this rule stays a writing rule that review enforces.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check-solution-citations</w:t>
      </w:r>
      <w:r>
        <w:t xml:space="preserve"> </w:t>
      </w:r>
      <w:r>
        <w:t xml:space="preserve">workflow covers only the citation of solutions.</w:t>
      </w:r>
    </w:p>
    <w:bookmarkEnd w:id="40"/>
    <w:bookmarkStart w:id="52" w:name="rules-that-other-chapters-cover"/>
    <w:p>
      <w:pPr>
        <w:pStyle w:val="Heading2"/>
      </w:pPr>
      <w:r>
        <w:t xml:space="preserve">10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3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2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1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2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3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4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</w:t>
                  </w:r>
                  <w:r>
                    <w:t xml:space="preserve"> </w:t>
                  </w:r>
                  <w:hyperlink r:id="rId45">
                    <w:r>
                      <w:rPr>
                        <w:rStyle w:val="Hyperlink"/>
                      </w:rPr>
                      <w:t xml:space="preserve">restrictive clause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4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48"/>
          <w:p/>
        </w:tc>
      </w:tr>
    </w:tbl>
    <w:bookmarkStart w:id="51" w:name="refs"/>
    <w:bookmarkStart w:id="5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#tone" TargetMode="External"/><Relationship Id="rId20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23" Type="http://schemas.openxmlformats.org/officeDocument/2006/relationships/hyperlink" Target="defining-terms.qmd#guidelines-for-defining-terms" TargetMode="External"/><Relationship Id="rId36" Type="http://schemas.openxmlformats.org/officeDocument/2006/relationships/hyperlink" Target="defining-terms/derivation-format.qmd" TargetMode="External"/><Relationship Id="rId44" Type="http://schemas.openxmlformats.org/officeDocument/2006/relationships/hyperlink" Target="grammar.qmd#avoid-garden-path-sentences" TargetMode="External"/><Relationship Id="rId45" Type="http://schemas.openxmlformats.org/officeDocument/2006/relationships/hyperlink" Target="grammar.qmd#def-restrictive-clause" TargetMode="External"/><Relationship Id="rId46" Type="http://schemas.openxmlformats.org/officeDocument/2006/relationships/hyperlink" Target="grammar.qmd#relative-pronouns" TargetMode="External"/><Relationship Id="rId37" Type="http://schemas.openxmlformats.org/officeDocument/2006/relationships/hyperlink" Target="https://github.com/Morrison-Lab/gha" TargetMode="External"/><Relationship Id="rId49" Type="http://schemas.openxmlformats.org/officeDocument/2006/relationships/hyperlink" Target="https://jmlr.csail.mit.edu/reviewing-papers/knuth_mathematical_writing.pdf" TargetMode="External"/><Relationship Id="rId28" Type="http://schemas.openxmlformats.org/officeDocument/2006/relationships/hyperlink" Target="https://quarto.org/docs/authoring/cross-references.html#equations" TargetMode="External"/><Relationship Id="rId42" Type="http://schemas.openxmlformats.org/officeDocument/2006/relationships/hyperlink" Target="inclusive-writing.qmd#rewrite-noun-strings-and-hidden-verbs" TargetMode="External"/><Relationship Id="rId22" Type="http://schemas.openxmlformats.org/officeDocument/2006/relationships/hyperlink" Target="notation.qmd#matching-names-and-notation" TargetMode="External"/><Relationship Id="rId41" Type="http://schemas.openxmlformats.org/officeDocument/2006/relationships/hyperlink" Target="notation.qmd#show-why-you-need-a-result-before-you-derive-it" TargetMode="External"/><Relationship Id="rId43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2026-10-29T22:21:08Z</dcterms:created>
  <dcterms:modified xsi:type="dcterms:W3CDTF">2026-10-29T22:21:08Z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15:16:13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