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2026-10-29 15:16:13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the-log-odds"/>
    <w:p>
      <w:pPr>
        <w:pStyle w:val="Heading2"/>
      </w:pPr>
      <w:r>
        <w:t xml:space="preserve">16 Writing the log-odds</w:t>
      </w:r>
    </w:p>
    <w:p>
      <w:pPr>
        <w:pStyle w:val="FirstParagraph"/>
      </w:pPr>
      <w:r>
        <w:t xml:space="preserve">Use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(the Greek letter eta) for the log-odds, not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or another letter.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\logodds</w:t>
      </w:r>
      <w:r>
        <w:t xml:space="preserve">.</w:t>
      </w:r>
      <w:r>
        <w:t xml:space="preserve"> </w:t>
      </w:r>
      <w:r>
        <w:t xml:space="preserve">Use it wherever the quantity is the log-odds, including the argument of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so that the same quantity has one symbol in every chapter and figure.</w:t>
      </w:r>
      <w:r>
        <w:t xml:space="preserve"> </w:t>
      </w:r>
      <w:r>
        <w:t xml:space="preserve">Label a figure axis that shows it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Scientific figures</w:t>
        </w:r>
      </w:hyperlink>
      <w:r>
        <w:t xml:space="preserve">).</w:t>
      </w:r>
    </w:p>
    <w:bookmarkStart w:id="73" w:name="exm-log-odds-symbol"/>
    <w:p>
      <w:pPr>
        <w:pStyle w:val="BodyText"/>
      </w:pPr>
      <w:r>
        <w:rPr>
          <w:b/>
          <w:bCs/>
        </w:rPr>
        <w:t xml:space="preserve">Example 27 (Argument of the logistic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z</m:t>
            </m:r>
          </m:sup>
        </m:sSup>
        <m:r>
          <m:rPr>
            <m:sty m:val="p"/>
          </m:rPr>
          <m:t>)</m:t>
        </m:r>
      </m:oMath>
      <w:r>
        <w:t xml:space="preserve">, evaluated at the log-odds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BlockText"/>
      </w:pPr>
      <w:r>
        <w:t xml:space="preserve">✅ The logistic function 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η</m:t>
                </m:r>
              </m:sup>
            </m:sSup>
          </m:den>
        </m:f>
      </m:oMath>
      <w:r>
        <w:t xml:space="preserve">, evaluated at the log-odds</w:t>
      </w:r>
      <w:r>
        <w:t xml:space="preserve"> </w:t>
      </w:r>
      <m:oMath>
        <m:r>
          <m:t>η</m:t>
        </m:r>
      </m:oMath>
      <w:r>
        <w:t xml:space="preserve">.</w:t>
      </w:r>
    </w:p>
    <w:p>
      <w:pPr>
        <w:pStyle w:val="FirstParagraph"/>
      </w:pPr>
      <w:r>
        <w:t xml:space="preserve">The ✅ version uses the lab’s symbol for the log-odds, so a reader who has seen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elsewhere recognizes it here.</w:t>
      </w:r>
    </w:p>
    <w:bookmarkEnd w:id="73"/>
    <w:bookmarkEnd w:id="74"/>
    <w:bookmarkStart w:id="77" w:name="writing-out-notational-shorthands"/>
    <w:p>
      <w:pPr>
        <w:pStyle w:val="Heading2"/>
      </w:pPr>
      <w:r>
        <w:t xml:space="preserve">17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6" w:name="exm-notational-shorthand"/>
    <w:p>
      <w:pPr>
        <w:pStyle w:val="BodyText"/>
      </w:pPr>
      <w:r>
        <w:rPr>
          <w:b/>
          <w:bCs/>
        </w:rPr>
        <w:t xml:space="preserve">Example 28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6"/>
    <w:bookmarkEnd w:id="77"/>
    <w:bookmarkStart w:id="82" w:name="stating-assumptions-before-using-them"/>
    <w:p>
      <w:pPr>
        <w:pStyle w:val="Heading2"/>
      </w:pPr>
      <w:r>
        <w:t xml:space="preserve">18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8" w:name="exm-assumptions-first"/>
    <w:p>
      <w:pPr>
        <w:pStyle w:val="BodyText"/>
      </w:pPr>
      <w:r>
        <w:rPr>
          <w:b/>
          <w:bCs/>
        </w:rPr>
        <w:t xml:space="preserve">Example 29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8"/>
    <w:bookmarkStart w:id="79" w:name="exm-assumptions-bullet-list"/>
    <w:p>
      <w:pPr>
        <w:pStyle w:val="BodyText"/>
      </w:pPr>
      <w:r>
        <w:rPr>
          <w:b/>
          <w:bCs/>
        </w:rPr>
        <w:t xml:space="preserve">Example 30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9"/>
    <w:bookmarkStart w:id="80" w:name="exm-notation-bullet-list"/>
    <w:p>
      <w:pPr>
        <w:pStyle w:val="BodyText"/>
      </w:pPr>
      <w:r>
        <w:rPr>
          <w:b/>
          <w:bCs/>
        </w:rPr>
        <w:t xml:space="preserve">Example 31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80"/>
    <w:bookmarkStart w:id="81" w:name="exm-parametrization-is-notation"/>
    <w:p>
      <w:pPr>
        <w:pStyle w:val="BodyText"/>
      </w:pPr>
      <w:r>
        <w:rPr>
          <w:b/>
          <w:bCs/>
        </w:rPr>
        <w:t xml:space="preserve">Example 32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5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72" Target="slides-posters-figures.qmd#sec-scientific-figures" TargetMode="External" /><Relationship Type="http://schemas.openxmlformats.org/officeDocument/2006/relationships/hyperlink" Id="rId57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5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72" Target="slides-posters-figures.qmd#sec-scientific-figures" TargetMode="External" /><Relationship Type="http://schemas.openxmlformats.org/officeDocument/2006/relationships/hyperlink" Id="rId57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2026-10-29T22:21:25Z</dcterms:created>
  <dcterms:modified xsi:type="dcterms:W3CDTF">2026-10-29T22:21:25Z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15:16:13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