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del w:id="1" w:author="PR Preview" w:date="2026-01-01T00:00:00Z">
        <w:r>
          <w:delText xml:space="preserve">Last modified: 2026-10-17 16:26:16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11:12:00 (PDT)</w:t>
        </w:r>
      </w:ins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6" w:name="sec-show-in-a-figure"/>
    <w:p>
      <w:pPr>
        <w:pStyle w:val="Heading2"/>
      </w:pPr>
      <w:r>
        <w:t xml:space="preserve">3 Show the result in a figure</w:t>
      </w:r>
    </w:p>
    <w:p>
      <w:pPr>
        <w:pStyle w:val="FirstParagraph"/>
      </w:pPr>
      <w:r>
        <w:t xml:space="preserve">A figure often shows a pattern, an outlier or a comparison</w:t>
      </w:r>
      <w:r>
        <w:t xml:space="preserve"> </w:t>
      </w:r>
      <w:r>
        <w:t xml:space="preserve">faster and more reliably than a sentence or a table can describe it.</w:t>
      </w:r>
      <w:r>
        <w:t xml:space="preserve"> </w:t>
      </w:r>
      <w:r>
        <w:t xml:space="preserve">So when a result can be drawn, draw it,</w:t>
      </w:r>
      <w:r>
        <w:t xml:space="preserve"> </w:t>
      </w:r>
      <w:r>
        <w:t xml:space="preserve">and use the text to point the reader to what the figure shows.</w:t>
      </w:r>
    </w:p>
    <w:p>
      <w:pPr>
        <w:pStyle w:val="Compact"/>
        <w:numPr>
          <w:ilvl w:val="0"/>
          <w:numId w:val="1003"/>
        </w:numPr>
      </w:pPr>
      <w:r>
        <w:t xml:space="preserve">Show the data before summarizing them.</w:t>
      </w:r>
      <w:r>
        <w:t xml:space="preserve"> </w:t>
      </w:r>
      <w:r>
        <w:t xml:space="preserve">Summary statistics can hide structure that a plot of the data reveals.</w:t>
      </w:r>
    </w:p>
    <w:p>
      <w:pPr>
        <w:pStyle w:val="Compact"/>
        <w:numPr>
          <w:ilvl w:val="0"/>
          <w:numId w:val="1003"/>
        </w:numPr>
      </w:pPr>
      <w:r>
        <w:t xml:space="preserve">Put the key result of each section in a figure,</w:t>
      </w:r>
      <w:r>
        <w:t xml:space="preserve"> </w:t>
      </w:r>
      <w:r>
        <w:t xml:space="preserve">and write the section’s text around that figure.</w:t>
      </w:r>
    </w:p>
    <w:p>
      <w:pPr>
        <w:pStyle w:val="Compact"/>
        <w:numPr>
          <w:ilvl w:val="0"/>
          <w:numId w:val="1003"/>
        </w:numPr>
      </w:pPr>
      <w:r>
        <w:t xml:space="preserve">Make the figure show the comparison the text claims,</w:t>
      </w:r>
      <w:r>
        <w:t xml:space="preserve"> </w:t>
      </w:r>
      <w:r>
        <w:t xml:space="preserve">with the groups, fitted curve or interval on the same axes.</w:t>
      </w:r>
    </w:p>
    <w:p>
      <w:pPr>
        <w:pStyle w:val="Compact"/>
        <w:numPr>
          <w:ilvl w:val="0"/>
          <w:numId w:val="1003"/>
        </w:numPr>
      </w:pPr>
      <w:r>
        <w:t xml:space="preserve">Say in the text what to look at in the figure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Figures and tables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Use a table instead when readers need exact values to look up or compute with.</w:t>
      </w:r>
    </w:p>
    <w:bookmarkStart w:id="15" w:name="exm-anscombe"/>
    <w:p>
      <w:pPr>
        <w:pStyle w:val="FirstParagraph"/>
      </w:pPr>
      <w:r>
        <w:rPr>
          <w:b/>
          <w:bCs/>
        </w:rPr>
        <w:t xml:space="preserve">Example 1 (Four datasets with the same summaries)</w:t>
      </w:r>
      <w:r>
        <w:t xml:space="preserve"> </w:t>
      </w:r>
      <w:r>
        <w:t xml:space="preserve">Anscombe (1973)</w:t>
      </w:r>
      <w:r>
        <w:t xml:space="preserve"> </w:t>
      </w:r>
      <w:r>
        <w:t xml:space="preserve">constructed four small datasets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Wikipedia: Anscombe’s quartet</w:t>
        </w:r>
      </w:hyperlink>
      <w:r>
        <w:t xml:space="preserve">).</w:t>
      </w:r>
      <w:r>
        <w:t xml:space="preserve"> </w:t>
      </w:r>
      <w:r>
        <w:t xml:space="preserve">All four have the same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(9), the same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(7.5),</w:t>
      </w:r>
      <w:r>
        <w:t xml:space="preserve"> </w:t>
      </w:r>
      <w:r>
        <w:t xml:space="preserve">the same correlation (0.82 to two decimal places)</w:t>
      </w:r>
      <w:r>
        <w:t xml:space="preserve"> </w:t>
      </w:r>
      <w:r>
        <w:t xml:space="preserve">and the same least-squares line, with slope 0.5.</w:t>
      </w:r>
      <w:r>
        <w:t xml:space="preserve"> </w:t>
      </w:r>
      <w:r>
        <w:t xml:space="preserve">A table of these summaries cannot tell the datasets apart.</w:t>
      </w:r>
      <w:r>
        <w:t xml:space="preserve"> </w:t>
      </w:r>
      <w:r>
        <w:t xml:space="preserve">A scatterplot of each can: one is roughly linear with scatter,</w:t>
      </w:r>
      <w:r>
        <w:t xml:space="preserve"> </w:t>
      </w:r>
      <w:r>
        <w:t xml:space="preserve">one follows a smooth curve,</w:t>
      </w:r>
      <w:r>
        <w:t xml:space="preserve"> </w:t>
      </w:r>
      <w:r>
        <w:t xml:space="preserve">one is an exact line with a single outlier,</w:t>
      </w:r>
      <w:r>
        <w:t xml:space="preserve"> </w:t>
      </w:r>
      <w:r>
        <w:t xml:space="preserve">and one has all but one of its points at the same</w:t>
      </w:r>
      <w:r>
        <w:t xml:space="preserve"> </w:t>
      </w:r>
      <m:oMath>
        <m:r>
          <m:t>x</m:t>
        </m:r>
      </m:oMath>
      <w:r>
        <w:t xml:space="preserve">.</w:t>
      </w:r>
    </w:p>
    <w:bookmarkEnd w:id="15"/>
    <w:bookmarkEnd w:id="16"/>
    <w:bookmarkStart w:id="23" w:name="sec-scientific-figures"/>
    <w:p>
      <w:pPr>
        <w:pStyle w:val="Heading2"/>
      </w:pPr>
      <w:r>
        <w:t xml:space="preserve">4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7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4"/>
        </w:numPr>
      </w:pPr>
      <w:r>
        <w:t xml:space="preserve">Label the x-axis and y-axis clearly.</w:t>
      </w:r>
    </w:p>
    <w:p>
      <w:pPr>
        <w:pStyle w:val="Compact"/>
        <w:numPr>
          <w:ilvl w:val="0"/>
          <w:numId w:val="1004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4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4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4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4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9">
        <w:r>
          <w:rPr>
            <w:rStyle w:val="Hyperlink"/>
          </w:rPr>
          <w:t xml:space="preserve">iwanthue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4"/>
        </w:numPr>
      </w:pPr>
      <w:r>
        <w:t xml:space="preserve">Put the plot’s legend (the key to colors, shapes and line types) at the bottom of the plot, unless you have a reason to put it elsewhere.</w:t>
      </w:r>
      <w:r>
        <w:t xml:space="preserve"> </w:t>
      </w:r>
      <w:r>
        <w:t xml:space="preserve">A bottom legend leaves the full plot width for the data and gives every figure the same layout.</w:t>
      </w:r>
    </w:p>
    <w:p>
      <w:pPr>
        <w:pStyle w:val="Compact"/>
        <w:numPr>
          <w:ilvl w:val="0"/>
          <w:numId w:val="1004"/>
        </w:numPr>
      </w:pPr>
      <w:r>
        <w:t xml:space="preserve">In R, draw the static version of a figure with</w:t>
      </w:r>
      <w:r>
        <w:t xml:space="preserve"> </w:t>
      </w:r>
      <w:hyperlink r:id="rId2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and the interactive version with plotly as described in</w:t>
      </w:r>
      <w:r>
        <w:t xml:space="preserve"> </w:t>
      </w:r>
      <w:hyperlink w:anchor="sec-scientific-figures">
        <w:r>
          <w:rPr>
            <w:rStyle w:val="Hyperlink"/>
          </w:rPr>
          <w:t xml:space="preserve">Section 4</w:t>
        </w:r>
      </w:hyperlink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Present R results with modern packages</w:t>
        </w:r>
      </w:hyperlink>
      <w:r>
        <w:t xml:space="preserve"> </w:t>
      </w:r>
      <w:r>
        <w:t xml:space="preserve">gives the reasons.</w:t>
      </w:r>
    </w:p>
    <w:p>
      <w:pPr>
        <w:pStyle w:val="Compact"/>
        <w:numPr>
          <w:ilvl w:val="0"/>
          <w:numId w:val="1004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4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4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5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5"/>
        </w:numPr>
      </w:pPr>
      <w:hyperlink r:id="rId22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23"/>
    <w:bookmarkStart w:id="41" w:name="sec-3d-graphs"/>
    <w:p>
      <w:pPr>
        <w:pStyle w:val="Heading2"/>
      </w:pPr>
      <w:r>
        <w:t xml:space="preserve">5 Three-dimensional graphs</w:t>
      </w:r>
    </w:p>
    <w:p>
      <w:pPr>
        <w:pStyle w:val="FirstParagraph"/>
      </w:pPr>
      <w:r>
        <w:t xml:space="preserve">A function of two variables, such as a loss or a residual sum of squares</w:t>
      </w:r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6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6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6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6"/>
        </w:numPr>
      </w:pPr>
      <w:r>
        <w:t xml:space="preserve">An interactive plot that readers can rotate, such as one made with</w:t>
      </w:r>
      <w:r>
        <w:t xml:space="preserve"> </w:t>
      </w:r>
      <w:hyperlink r:id="rId24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Several of the resource links in the slide deck and figure sections began in the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0">
        <w:r>
          <w:rPr>
            <w:rStyle w:val="Hyperlink"/>
          </w:rPr>
          <w:t xml:space="preserve">Professional Development</w:t>
        </w:r>
      </w:hyperlink>
      <w:r>
        <w:t xml:space="preserve"> </w:t>
      </w:r>
      <w:r>
        <w:t xml:space="preserve">and</w:t>
      </w:r>
      <w:r>
        <w:t xml:space="preserve"> </w:t>
      </w:r>
      <w:hyperlink r:id="rId31">
        <w:r>
          <w:rPr>
            <w:rStyle w:val="Hyperlink"/>
          </w:rPr>
          <w:t xml:space="preserve">Resources</w:t>
        </w:r>
      </w:hyperlink>
      <w:r>
        <w:t xml:space="preserve"> </w:t>
      </w:r>
      <w:r>
        <w:t xml:space="preserve">chapters</w:t>
      </w:r>
      <w:r>
        <w:t xml:space="preserve"> </w:t>
      </w:r>
      <w:r>
        <w:t xml:space="preserve">of the UCD-SERG lab manual.</w:t>
      </w:r>
    </w:p>
    <w:bookmarkStart w:id="40" w:name="refs"/>
    <w:bookmarkStart w:id="33" w:name="ref-anscombe1973"/>
    <w:p>
      <w:pPr>
        <w:pStyle w:val="Bibliography"/>
      </w:pPr>
      <w:r>
        <w:t xml:space="preserve">Anscombe, F. J. 1973.</w:t>
      </w:r>
      <w:r>
        <w:t xml:space="preserve"> </w:t>
      </w:r>
      <w:r>
        <w:t xml:space="preserve">“Graphs in Statistical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27 (1): 17–21.</w:t>
      </w:r>
      <w:r>
        <w:t xml:space="preserve"> </w:t>
      </w:r>
      <w:hyperlink r:id="rId32">
        <w:r>
          <w:rPr>
            <w:rStyle w:val="Hyperlink"/>
          </w:rPr>
          <w:t xml:space="preserve">https://doi.org/10.1080/00031305.1973.10478966</w:t>
        </w:r>
      </w:hyperlink>
      <w:r>
        <w:t xml:space="preserve">.</w:t>
      </w:r>
    </w:p>
    <w:bookmarkEnd w:id="33"/>
    <w:bookmarkStart w:id="35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34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35"/>
    <w:bookmarkStart w:id="37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36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37"/>
    <w:bookmarkStart w:id="39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38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39"/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6" Type="http://schemas.openxmlformats.org/officeDocument/2006/relationships/image" Target="media/rId26.png"/><Relationship Id="rId18" Type="http://schemas.openxmlformats.org/officeDocument/2006/relationships/hyperlink" Target="http://colorbrewer2.org/" TargetMode="External"/><Relationship Id="rId36" Type="http://schemas.openxmlformats.org/officeDocument/2006/relationships/hyperlink" Target="https://doi.org/10.1016/j.molmed.2023.05.002" TargetMode="External"/><Relationship Id="rId34" Type="http://schemas.openxmlformats.org/officeDocument/2006/relationships/hyperlink" Target="https://doi.org/10.1038/d41586-021-03603-2" TargetMode="External"/><Relationship Id="rId32" Type="http://schemas.openxmlformats.org/officeDocument/2006/relationships/hyperlink" Target="https://doi.org/10.1080/00031305.1973.10478966" TargetMode="External"/><Relationship Id="rId38" Type="http://schemas.openxmlformats.org/officeDocument/2006/relationships/hyperlink" Target="https://doi.org/10.1371/journal.pcbi.1003833" TargetMode="External"/><Relationship Id="rId22" Type="http://schemas.openxmlformats.org/officeDocument/2006/relationships/hyperlink" Target="https://edwardtufte.github.io/tufte-css/" TargetMode="External"/><Relationship Id="rId14" Type="http://schemas.openxmlformats.org/officeDocument/2006/relationships/hyperlink" Target="https://en.wikipedia.org/wiki/Anscombe%27s_quartet" TargetMode="External"/><Relationship Id="rId20" Type="http://schemas.openxmlformats.org/officeDocument/2006/relationships/hyperlink" Target="https://ggplot2.tidyverse.org/" TargetMode="External"/><Relationship Id="rId29" Type="http://schemas.openxmlformats.org/officeDocument/2006/relationships/hyperlink" Target="https://jadebc.github.io/lab-manual/" TargetMode="External"/><Relationship Id="rId19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7" Type="http://schemas.openxmlformats.org/officeDocument/2006/relationships/hyperlink" Target="https://plotly.com/r/" TargetMode="External"/><Relationship Id="rId24" Type="http://schemas.openxmlformats.org/officeDocument/2006/relationships/hyperlink" Target="https://plotly.com/r/3d-surface-plots/" TargetMode="External"/><Relationship Id="rId30" Type="http://schemas.openxmlformats.org/officeDocument/2006/relationships/hyperlink" Target="https://ucd-serg.github.io/lab-manual/professional-development.html" TargetMode="External"/><Relationship Id="rId31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3" Type="http://schemas.openxmlformats.org/officeDocument/2006/relationships/hyperlink" Target="paper-organization.qmd#figures-and-tables" TargetMode="External"/><Relationship Id="rId25" Type="http://schemas.openxmlformats.org/officeDocument/2006/relationships/hyperlink" Target="teaching.qmd#make-figures-accessible" TargetMode="External"/><Relationship Id="rId21" Type="http://schemas.openxmlformats.org/officeDocument/2006/relationships/hyperlink" Target="teaching.qmd#present-r-results-with-modern-packages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http://colorbrewer2.org/" TargetMode="External"/><Relationship Id="rId36" Type="http://schemas.openxmlformats.org/officeDocument/2006/relationships/hyperlink" Target="https://doi.org/10.1016/j.molmed.2023.05.002" TargetMode="External"/><Relationship Id="rId34" Type="http://schemas.openxmlformats.org/officeDocument/2006/relationships/hyperlink" Target="https://doi.org/10.1038/d41586-021-03603-2" TargetMode="External"/><Relationship Id="rId32" Type="http://schemas.openxmlformats.org/officeDocument/2006/relationships/hyperlink" Target="https://doi.org/10.1080/00031305.1973.10478966" TargetMode="External"/><Relationship Id="rId38" Type="http://schemas.openxmlformats.org/officeDocument/2006/relationships/hyperlink" Target="https://doi.org/10.1371/journal.pcbi.1003833" TargetMode="External"/><Relationship Id="rId22" Type="http://schemas.openxmlformats.org/officeDocument/2006/relationships/hyperlink" Target="https://edwardtufte.github.io/tufte-css/" TargetMode="External"/><Relationship Id="rId14" Type="http://schemas.openxmlformats.org/officeDocument/2006/relationships/hyperlink" Target="https://en.wikipedia.org/wiki/Anscombe%27s_quartet" TargetMode="External"/><Relationship Id="rId20" Type="http://schemas.openxmlformats.org/officeDocument/2006/relationships/hyperlink" Target="https://ggplot2.tidyverse.org/" TargetMode="External"/><Relationship Id="rId29" Type="http://schemas.openxmlformats.org/officeDocument/2006/relationships/hyperlink" Target="https://jadebc.github.io/lab-manual/" TargetMode="External"/><Relationship Id="rId19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7" Type="http://schemas.openxmlformats.org/officeDocument/2006/relationships/hyperlink" Target="https://plotly.com/r/" TargetMode="External"/><Relationship Id="rId24" Type="http://schemas.openxmlformats.org/officeDocument/2006/relationships/hyperlink" Target="https://plotly.com/r/3d-surface-plots/" TargetMode="External"/><Relationship Id="rId30" Type="http://schemas.openxmlformats.org/officeDocument/2006/relationships/hyperlink" Target="https://ucd-serg.github.io/lab-manual/professional-development.html" TargetMode="External"/><Relationship Id="rId31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3" Type="http://schemas.openxmlformats.org/officeDocument/2006/relationships/hyperlink" Target="paper-organization.qmd#figures-and-tables" TargetMode="External"/><Relationship Id="rId25" Type="http://schemas.openxmlformats.org/officeDocument/2006/relationships/hyperlink" Target="teaching.qmd#make-figures-accessible" TargetMode="External"/><Relationship Id="rId21" Type="http://schemas.openxmlformats.org/officeDocument/2006/relationships/hyperlink" Target="teaching.qmd#present-r-results-with-modern-packag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2026-10-18T18:16:50Z</dcterms:created>
  <dcterms:modified xsi:type="dcterms:W3CDTF">2026-10-18T18:16:50Z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11:12:00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