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2026-10-26 09:30:11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34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2" w:name="exm-cite-results"/>
    <w:p>
      <w:pPr>
        <w:pStyle w:val="BodyText"/>
      </w:pPr>
      <w:r>
        <w:rPr>
          <w:b/>
          <w:bCs/>
        </w:rPr>
        <w:t xml:space="preserve">Example 5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2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it,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one line,</w:t>
      </w:r>
      <w:r>
        <w:t xml:space="preserve"> </w:t>
      </w:r>
      <w:r>
        <w:t xml:space="preserve">“By</w:t>
      </w:r>
      <w:r>
        <w:t xml:space="preserve"> </w:t>
      </w:r>
      <w:r>
        <w:rPr>
          <w:b/>
          <w:bCs/>
        </w:rPr>
        <w:t xml:space="preserve">?@sol-x</w:t>
      </w:r>
      <w:r>
        <w:t xml:space="preserve">.”</w:t>
      </w:r>
      <w:r>
        <w:t xml:space="preserve">, with one citation.</w:t>
      </w:r>
      <w:r>
        <w:t xml:space="preserve"> </w:t>
      </w:r>
      <w:r>
        <w:t xml:space="preserve">A proof with its own steps, display math or a second citation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3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any other line that must cite a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it, whichever solution the line cites.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those divs, but the rule still applies there.</w:t>
      </w:r>
    </w:p>
    <w:bookmarkEnd w:id="34"/>
    <w:bookmarkStart w:id="36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div states one result or answers one exercise, and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it.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5" w:name="exm-never-inline"/>
    <w:p>
      <w:pPr>
        <w:pStyle w:val="BodyText"/>
      </w:pPr>
      <w:r>
        <w:rPr>
          <w:b/>
          <w:bCs/>
        </w:rPr>
        <w:t xml:space="preserve">Example 6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m:oMath>
        <m:r>
          <m:t>2</m:t>
        </m:r>
        <m:sSub>
          <m:e>
            <m:r>
              <m:t>r</m:t>
            </m:r>
          </m:e>
          <m:sub>
            <m:r>
              <m:t>i</m:t>
            </m:r>
          </m:sub>
        </m:sSub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, where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residual and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 as</w:t>
      </w:r>
      <w:r>
        <w:t xml:space="preserve"> </w:t>
      </w:r>
      <m:oMath>
        <m:r>
          <m:t>2</m:t>
        </m:r>
        <m:sSub>
          <m:e>
            <m:r>
              <m:t>r</m:t>
            </m:r>
          </m:e>
          <m:sub>
            <m:r>
              <m:t>i</m:t>
            </m:r>
          </m:sub>
        </m:sSub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2</m:t>
            </m:r>
          </m:e>
        </m:nary>
        <m:sSub>
          <m:e>
            <m:r>
              <m:t>r</m:t>
            </m:r>
          </m:e>
          <m:sub>
            <m:r>
              <m:t>i</m:t>
            </m:r>
          </m:sub>
        </m:sSub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❌ proof repeats a derivation that Lemma 4 states, so a reader who needs that step elsewhere has nowhere to cite.</w:t>
      </w:r>
    </w:p>
    <w:bookmarkEnd w:id="35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A check can flag display math in a proof, but it cannot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check-exercise-before-result</w:t>
      </w:r>
      <w:r>
        <w:t xml:space="preserve"> </w:t>
      </w:r>
      <w:r>
        <w:t xml:space="preserve">workflows in</w:t>
      </w:r>
      <w:r>
        <w:t xml:space="preserve"> </w:t>
      </w:r>
      <w:hyperlink r:id="rId33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cover the parts that a check can decide.</w:t>
      </w:r>
    </w:p>
    <w:bookmarkEnd w:id="36"/>
    <w:bookmarkStart w:id="47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8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9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0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3"/>
          <w:p/>
        </w:tc>
      </w:tr>
    </w:tbl>
    <w:bookmarkStart w:id="46" w:name="refs"/>
    <w:bookmarkStart w:id="45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2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40" Target="grammar.qmd#avoid-garden-path-sentences" TargetMode="External" /><Relationship Type="http://schemas.openxmlformats.org/officeDocument/2006/relationships/hyperlink" Id="rId41" Target="grammar.qmd#relative-pronouns" TargetMode="External" /><Relationship Type="http://schemas.openxmlformats.org/officeDocument/2006/relationships/hyperlink" Id="rId33" Target="https://github.com/Morrison-Lab/gha" TargetMode="External" /><Relationship Type="http://schemas.openxmlformats.org/officeDocument/2006/relationships/hyperlink" Id="rId44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8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7" Target="notation.qmd#show-why-you-need-a-result-before-you-derive-it" TargetMode="External" /><Relationship Type="http://schemas.openxmlformats.org/officeDocument/2006/relationships/hyperlink" Id="rId39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40" Target="grammar.qmd#avoid-garden-path-sentences" TargetMode="External" /><Relationship Type="http://schemas.openxmlformats.org/officeDocument/2006/relationships/hyperlink" Id="rId41" Target="grammar.qmd#relative-pronouns" TargetMode="External" /><Relationship Type="http://schemas.openxmlformats.org/officeDocument/2006/relationships/hyperlink" Id="rId33" Target="https://github.com/Morrison-Lab/gha" TargetMode="External" /><Relationship Type="http://schemas.openxmlformats.org/officeDocument/2006/relationships/hyperlink" Id="rId44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8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7" Target="notation.qmd#show-why-you-need-a-result-before-you-derive-it" TargetMode="External" /><Relationship Type="http://schemas.openxmlformats.org/officeDocument/2006/relationships/hyperlink" Id="rId39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2026-10-26T16:33:35Z</dcterms:created>
  <dcterms:modified xsi:type="dcterms:W3CDTF">2026-10-26T16:33:35Z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09:30:11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