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2026-10-05 19:03:56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7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37"/>
    <w:bookmarkStart w:id="38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8"/>
    <w:bookmarkStart w:id="44" w:name="examples"/>
    <w:p>
      <w:pPr>
        <w:pStyle w:val="Heading2"/>
      </w:pPr>
      <w:r>
        <w:t xml:space="preserve">13 Examples</w:t>
      </w:r>
    </w:p>
    <w:bookmarkStart w:id="39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9"/>
    <w:bookmarkStart w:id="40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0"/>
    <w:bookmarkStart w:id="41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1"/>
    <w:bookmarkStart w:id="42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2"/>
    <w:bookmarkStart w:id="43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3"/>
    <w:bookmarkEnd w:id="44"/>
    <w:bookmarkStart w:id="55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4" w:name="refs"/>
    <w:bookmarkStart w:id="4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6"/>
    <w:bookmarkStart w:id="4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8"/>
    <w:bookmarkStart w:id="4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9"/>
    <w:bookmarkStart w:id="5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1"/>
    <w:bookmarkStart w:id="5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5" Target="https://doi.org/10.1021/ci0342472" TargetMode="External" /><Relationship Type="http://schemas.openxmlformats.org/officeDocument/2006/relationships/hyperlink" Id="rId47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0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2026-10-05T19:06:10Z</dcterms:created>
  <dcterms:modified xsi:type="dcterms:W3CDTF">2026-10-05T19:06:10Z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