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2026-10-29 01:04:55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7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numPr>
          <w:ilvl w:val="0"/>
          <w:numId w:val="1001"/>
        </w:numPr>
      </w:pPr>
      <w:r>
        <w:t xml:space="preserve">Restate every result that a solution first derives in its own theorem-type div</w:t>
      </w:r>
      <w:r>
        <w:t xml:space="preserve"> </w:t>
      </w:r>
      <w:r>
        <w:t xml:space="preserve">(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) after the exercise (Ezra, 2026-10-29).</w:t>
      </w:r>
      <w:r>
        <w:t xml:space="preserve"> </w:t>
      </w:r>
      <w:r>
        <w:t xml:space="preserve">The solution shows the working,</w:t>
      </w:r>
      <w:r>
        <w:t xml:space="preserve"> </w:t>
      </w:r>
      <w:r>
        <w:t xml:space="preserve">and the theorem div states the result by itself, so a reader can find and cite it.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check-restated-results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warns about a derivation solution that a pull request edits</w:t>
      </w:r>
      <w:r>
        <w:t xml:space="preserve"> </w:t>
      </w:r>
      <w:r>
        <w:t xml:space="preserve">and that no theorem-type div follows</w:t>
      </w:r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gha#1309</w:t>
        </w:r>
      </w:hyperlink>
      <w:r>
        <w:t xml:space="preserve">).</w:t>
      </w:r>
      <w:r>
        <w:t xml:space="preserve"> </w:t>
      </w:r>
      <w:r>
        <w:t xml:space="preserve">The check never sweeps existing content:</w:t>
      </w:r>
      <w:r>
        <w:t xml:space="preserve"> </w:t>
      </w:r>
      <w:r>
        <w:t xml:space="preserve">restate the result when you edit the passage anyway.</w:t>
      </w:r>
      <w:r>
        <w:t xml:space="preserve"> </w:t>
      </w:r>
      <w:r>
        <w:rPr>
          <w:rStyle w:val="VerbatimChar"/>
        </w:rPr>
        <w:t xml:space="preserve">&lt;!-- restated-ok: reason --&gt;</w:t>
      </w:r>
      <w:r>
        <w:t xml:space="preserve"> </w:t>
      </w:r>
      <w:r>
        <w:t xml:space="preserve">in the solution exempts a result that is stated elsewhere.</w:t>
      </w:r>
      <w:r>
        <w:t xml:space="preserve"> </w:t>
      </w:r>
      <w:r>
        <w:t xml:space="preserve">A restated theorem passes review only when it meets these four conditions: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proof stands alone.</w:t>
      </w:r>
      <w:r>
        <w:t xml:space="preserve"> </w:t>
      </w:r>
      <w:r>
        <w:t xml:space="preserve">It derives the result step by step, or cites earlier results,</w:t>
      </w:r>
      <w:r>
        <w:t xml:space="preserve"> </w:t>
      </w:r>
      <w:r>
        <w:t xml:space="preserve">and does not only point back at the solution that first derived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statement uses only defined symbols.</w:t>
      </w:r>
      <w:r>
        <w:t xml:space="preserve"> </w:t>
      </w:r>
      <w:r>
        <w:t xml:space="preserve">Every symbol in it is defined in the statement itself or in an earlier div.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first use of each</w:t>
      </w:r>
      <w:r>
        <w:rPr>
          <w:b/>
          <w:bCs/>
        </w:rPr>
        <w:t xml:space="preserve"> </w:t>
      </w:r>
      <w:hyperlink r:id="rId14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linked</w:t>
      </w:r>
      <w:r>
        <w:t xml:space="preserve"> </w:t>
      </w:r>
      <w:r>
        <w:t xml:space="preserve">to the div that defines it.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Each source line holds one clause</w:t>
      </w:r>
      <w:r>
        <w:t xml:space="preserve">,</w:t>
      </w:r>
      <w:r>
        <w:t xml:space="preserve"> </w:t>
      </w:r>
      <w:r>
        <w:t xml:space="preserve">as the semantic line break rule requires.</w:t>
      </w:r>
    </w:p>
    <w:p>
      <w:pPr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numPr>
          <w:ilvl w:val="0"/>
          <w:numId w:val="1001"/>
        </w:numPr>
      </w:pPr>
      <w:r>
        <w:t xml:space="preserve">Split the solution the same way as its exercise (Ezra, 2026-10-28).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of a split exercise answers only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t xml:space="preserve">takes its slug from that exercise (see the slug rule below),</w:t>
      </w:r>
      <w:r>
        <w:t xml:space="preserve"> </w:t>
      </w:r>
      <w:r>
        <w:t xml:space="preserve">and sits in its own subfile after its exercise.</w:t>
      </w:r>
      <w:r>
        <w:t xml:space="preserve"> </w:t>
      </w:r>
      <w:r>
        <w:t xml:space="preserve">This covers code: a lab solution puts each step’s code, output and figure in the solution of the exercise that asks for it,</w:t>
      </w:r>
      <w:r>
        <w:t xml:space="preserve"> </w:t>
      </w:r>
      <w:r>
        <w:t xml:space="preserve">not all in the first solution.</w:t>
      </w:r>
      <w:r>
        <w:t xml:space="preserve"> </w:t>
      </w:r>
      <w:r>
        <w:t xml:space="preserve">A solution does not label parts such as</w:t>
      </w:r>
      <w:r>
        <w:t xml:space="preserve"> </w:t>
      </w:r>
      <w:r>
        <w:t xml:space="preserve">“(b)”</w:t>
      </w:r>
      <w:r>
        <w:t xml:space="preserve"> </w:t>
      </w:r>
      <w:r>
        <w:t xml:space="preserve">or</w:t>
      </w:r>
      <w:r>
        <w:t xml:space="preserve"> </w:t>
      </w:r>
      <w:r>
        <w:t xml:space="preserve">“Part 2”</w:t>
      </w:r>
      <w:r>
        <w:t xml:space="preserve">,</w:t>
      </w:r>
      <w:r>
        <w:t xml:space="preserve"> </w:t>
      </w:r>
      <w:r>
        <w:t xml:space="preserve">and does not draw a figure that a later exercise asks for.</w:t>
      </w:r>
      <w:r>
        <w:t xml:space="preserve"> </w:t>
      </w:r>
      <w:r>
        <w:t xml:space="preserve">Code that a later part needs stays in the earliest solution that needs it,</w:t>
      </w:r>
      <w:r>
        <w:t xml:space="preserve"> </w:t>
      </w:r>
      <w:r>
        <w:t xml:space="preserve">because the page shares one session per language.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check-split-solutions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enforces this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gha#1290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6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6"/>
    <w:bookmarkEnd w:id="17"/>
    <w:bookmarkStart w:id="21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8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3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div holds one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3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20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20"/>
    <w:bookmarkEnd w:id="21"/>
    <w:bookmarkStart w:id="23" w:name="say-what-a-yes-or-no-answer-means"/>
    <w:p>
      <w:pPr>
        <w:pStyle w:val="Heading2"/>
      </w:pPr>
      <w:r>
        <w:t xml:space="preserve">3 Say what a yes-or-no answer means</w:t>
      </w:r>
    </w:p>
    <w:p>
      <w:pPr>
        <w:pStyle w:val="FirstParagraph"/>
      </w:pPr>
      <w:r>
        <w:t xml:space="preserve">Follow a</w:t>
      </w:r>
      <w:r>
        <w:t xml:space="preserve"> </w:t>
      </w:r>
      <w:r>
        <w:t xml:space="preserve">“Yes”</w:t>
      </w:r>
      <w:r>
        <w:t xml:space="preserve"> </w:t>
      </w:r>
      <w:r>
        <w:t xml:space="preserve">or</w:t>
      </w:r>
      <w:r>
        <w:t xml:space="preserve"> </w:t>
      </w:r>
      <w:r>
        <w:t xml:space="preserve">“No”</w:t>
      </w:r>
      <w:r>
        <w:t xml:space="preserve"> </w:t>
      </w:r>
      <w:r>
        <w:t xml:space="preserve">with what the answer means in the words of the question,</w:t>
      </w:r>
      <w:r>
        <w:t xml:space="preserve"> </w:t>
      </w:r>
      <w:r>
        <w:t xml:space="preserve">as in</w:t>
      </w:r>
      <w:r>
        <w:t xml:space="preserve"> </w:t>
      </w:r>
      <w:r>
        <w:t xml:space="preserve">“No: it’s not possible that the advanced network has a test error of 0.25,”</w:t>
      </w:r>
      <w:r>
        <w:t xml:space="preserve"> </w:t>
      </w:r>
      <w:r>
        <w:t xml:space="preserve">not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reader who sees only the first line then still knows what the answer claims,</w:t>
      </w:r>
      <w:r>
        <w:t xml:space="preserve"> </w:t>
      </w:r>
      <w:r>
        <w:t xml:space="preserve">and a bare</w:t>
      </w:r>
      <w:r>
        <w:t xml:space="preserve"> </w:t>
      </w:r>
      <w:r>
        <w:t xml:space="preserve">“No.”</w:t>
      </w:r>
      <w:r>
        <w:t xml:space="preserve"> </w:t>
      </w:r>
      <w:r>
        <w:t xml:space="preserve">leaves open what is being denied.</w:t>
      </w:r>
      <w:r>
        <w:t xml:space="preserve"> </w:t>
      </w:r>
      <w:r>
        <w:t xml:space="preserve">The rule covers solutions, worked examples and any other answer to a question.</w:t>
      </w:r>
    </w:p>
    <w:bookmarkStart w:id="22" w:name="exm-yes-no-conclusion"/>
    <w:p>
      <w:pPr>
        <w:pStyle w:val="BodyText"/>
      </w:pPr>
      <w:r>
        <w:rPr>
          <w:b/>
          <w:bCs/>
        </w:rPr>
        <w:t xml:space="preserve">Example 3 (Saying what a</w:t>
      </w:r>
      <w:r>
        <w:rPr>
          <w:b/>
          <w:bCs/>
        </w:rPr>
        <w:t xml:space="preserve"> </w:t>
      </w:r>
      <w:r>
        <w:rPr>
          <w:b/>
          <w:bCs/>
        </w:rPr>
        <w:t xml:space="preserve">“No”</w:t>
      </w:r>
      <w:r>
        <w:rPr>
          <w:b/>
          <w:bCs/>
        </w:rPr>
        <w:t xml:space="preserve"> </w:t>
      </w:r>
      <w:r>
        <w:rPr>
          <w:b/>
          <w:bCs/>
        </w:rPr>
        <w:t xml:space="preserve">means)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No. The irreducible error is a lower bound on the expected squared prediction error.</w:t>
      </w:r>
    </w:p>
    <w:p>
      <w:pPr>
        <w:pStyle w:val="BlockText"/>
      </w:pPr>
      <w:r>
        <w:t xml:space="preserve">✅ No: it’s not possible that the advanced network has a test error of 0.25.</w:t>
      </w:r>
      <w:r>
        <w:t xml:space="preserve"> </w:t>
      </w:r>
      <w:r>
        <w:t xml:space="preserve">The irreducible error is a lower bound on the expected squared prediction error.</w:t>
      </w:r>
    </w:p>
    <w:p>
      <w:pPr>
        <w:pStyle w:val="FirstParagraph"/>
      </w:pPr>
      <w:r>
        <w:t xml:space="preserve">The ✅ version states the conclusion in the question’s own words,</w:t>
      </w:r>
      <w:r>
        <w:t xml:space="preserve"> </w:t>
      </w:r>
      <w:r>
        <w:t xml:space="preserve">so the reasons that follow support a claim the reader has already seen.</w:t>
      </w:r>
    </w:p>
    <w:bookmarkEnd w:id="22"/>
    <w:bookmarkEnd w:id="23"/>
    <w:bookmarkStart w:id="24" w:name="Xcb2ea076bd2bdcde187ea355befd37150b69b89"/>
    <w:p>
      <w:pPr>
        <w:pStyle w:val="Heading2"/>
      </w:pPr>
      <w:r>
        <w:t xml:space="preserve">4 Give each question’s answer its own paragraph</w:t>
      </w:r>
    </w:p>
    <w:p>
      <w:pPr>
        <w:pStyle w:val="FirstParagraph"/>
      </w:pPr>
      <w:r>
        <w:t xml:space="preserve">When a prompt asks several questions, answer each one in its own paragraph, or in several paragraphs if it needs them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A solution to</w:t>
      </w:r>
      <w:r>
        <w:t xml:space="preserve"> </w:t>
      </w:r>
      <w:r>
        <w:t xml:space="preserve">“Which model underfits, which overfits most, and which would you choose?”</w:t>
      </w:r>
      <w:r>
        <w:t xml:space="preserve"> </w:t>
      </w:r>
      <w:r>
        <w:t xml:space="preserve">has one paragraph for the underfitting model, one for the overfitting model and one for the choice.</w:t>
      </w:r>
      <w:r>
        <w:t xml:space="preserve"> </w:t>
      </w:r>
      <w:r>
        <w:t xml:space="preserve">A reader looking for one answer then finds it without reading the others.</w:t>
      </w:r>
      <w:r>
        <w:t xml:space="preserve"> </w:t>
      </w:r>
      <w:r>
        <w:t xml:space="preserve">No automated check enforces this rule, because a script cannot tell how many questions a prompt asks.</w:t>
      </w:r>
    </w:p>
    <w:bookmarkEnd w:id="24"/>
    <w:bookmarkStart w:id="27" w:name="give-each-defined-term-its-own-div"/>
    <w:p>
      <w:pPr>
        <w:pStyle w:val="Heading2"/>
      </w:pPr>
      <w:r>
        <w:t xml:space="preserve">5 Give each defined term its own div</w:t>
      </w:r>
    </w:p>
    <w:p>
      <w:pPr>
        <w:pStyle w:val="FirstParagraph"/>
      </w:pPr>
      <w:hyperlink r:id="rId2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4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4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4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4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7"/>
    <w:bookmarkStart w:id="28" w:name="state-the-notation-and-its-alternatives"/>
    <w:p>
      <w:pPr>
        <w:pStyle w:val="Heading2"/>
      </w:pPr>
      <w:r>
        <w:t xml:space="preserve">6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8"/>
    <w:bookmarkStart w:id="30" w:name="Xac7e4ead54b12ccf6544491699a177b7d16fa22"/>
    <w:p>
      <w:pPr>
        <w:pStyle w:val="Heading2"/>
      </w:pPr>
      <w:r>
        <w:t xml:space="preserve">7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30"/>
    <w:bookmarkStart w:id="31" w:name="reuse-one-written-version-of-each-result"/>
    <w:p>
      <w:pPr>
        <w:pStyle w:val="Heading2"/>
      </w:pPr>
      <w:r>
        <w:t xml:space="preserve">8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31"/>
    <w:bookmarkStart w:id="33" w:name="use-real-data-and-compute-every-number"/>
    <w:p>
      <w:pPr>
        <w:pStyle w:val="Heading2"/>
      </w:pPr>
      <w:r>
        <w:t xml:space="preserve">9 Use real data and compute every number</w:t>
      </w:r>
    </w:p>
    <w:p>
      <w:pPr>
        <w:pStyle w:val="Compact"/>
        <w:numPr>
          <w:ilvl w:val="0"/>
          <w:numId w:val="1005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5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5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5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32" w:name="exm-show-data-first"/>
    <w:p>
      <w:pPr>
        <w:pStyle w:val="FirstParagraph"/>
      </w:pPr>
      <w:r>
        <w:rPr>
          <w:b/>
          <w:bCs/>
        </w:rPr>
        <w:t xml:space="preserve">Example 4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32"/>
    <w:bookmarkEnd w:id="33"/>
    <w:bookmarkStart w:id="34" w:name="Xa214254a94aa6db868b5b9577007bf4e27699b1"/>
    <w:p>
      <w:pPr>
        <w:pStyle w:val="Heading2"/>
      </w:pPr>
      <w:r>
        <w:t xml:space="preserve">10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6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6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6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6"/>
        </w:numPr>
      </w:pPr>
      <w:r>
        <w:t xml:space="preserve">A short list that no other page reads can stay as prose.</w:t>
      </w:r>
    </w:p>
    <w:bookmarkEnd w:id="34"/>
    <w:bookmarkStart w:id="39" w:name="show-each-idea-applied-and-in-a-figure"/>
    <w:p>
      <w:pPr>
        <w:pStyle w:val="Heading2"/>
      </w:pPr>
      <w:r>
        <w:t xml:space="preserve">11 Show each idea applied and in a figure</w:t>
      </w:r>
    </w:p>
    <w:p>
      <w:pPr>
        <w:pStyle w:val="Compact"/>
        <w:numPr>
          <w:ilvl w:val="0"/>
          <w:numId w:val="1007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7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7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12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7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7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7"/>
        </w:numPr>
      </w:pPr>
      <w:r>
        <w:t xml:space="preserve">Make each figure follow the accessibility rules below.</w:t>
      </w:r>
    </w:p>
    <w:bookmarkEnd w:id="39"/>
    <w:bookmarkStart w:id="41" w:name="X7f95f8ec3b796fc99108c37bb45d62741b824c4"/>
    <w:p>
      <w:pPr>
        <w:pStyle w:val="Heading2"/>
      </w:pPr>
      <w:r>
        <w:t xml:space="preserve">12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8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8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8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8"/>
        </w:numPr>
      </w:pPr>
      <w:r>
        <w:t xml:space="preserve">A counterexample (see</w:t>
      </w:r>
      <w:r>
        <w:t xml:space="preserve"> </w:t>
      </w:r>
      <w:hyperlink r:id="rId25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the practice exercise its own slug and follow the numbering and slide-break rules above.</w:t>
      </w:r>
    </w:p>
    <w:bookmarkStart w:id="40" w:name="exm-practice-after-example"/>
    <w:p>
      <w:pPr>
        <w:pStyle w:val="FirstParagraph"/>
      </w:pPr>
      <w:r>
        <w:rPr>
          <w:b/>
          <w:bCs/>
        </w:rPr>
        <w:t xml:space="preserve">Example 5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40"/>
    <w:bookmarkEnd w:id="41"/>
    <w:bookmarkStart w:id="45" w:name="Xf27331f4c36c8d578e5fa29a37312484cc3343a"/>
    <w:p>
      <w:pPr>
        <w:pStyle w:val="Heading2"/>
      </w:pPr>
      <w:r>
        <w:t xml:space="preserve">13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9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9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Write the R code with</w:t>
      </w:r>
      <w:r>
        <w:t xml:space="preserve"> </w:t>
      </w:r>
      <w:hyperlink r:id="rId42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43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9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4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9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9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9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9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5"/>
    <w:bookmarkStart w:id="46" w:name="Xf53ecb3398b87b82ffd1a126dd02e87a65bb694"/>
    <w:p>
      <w:pPr>
        <w:pStyle w:val="Heading2"/>
      </w:pPr>
      <w:r>
        <w:t xml:space="preserve">14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0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10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10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10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10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6"/>
    <w:bookmarkStart w:id="55" w:name="present-r-results-with-modern-packages"/>
    <w:p>
      <w:pPr>
        <w:pStyle w:val="Heading2"/>
      </w:pPr>
      <w:r>
        <w:t xml:space="preserve">15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2"/>
        </w:numPr>
      </w:pPr>
      <w:r>
        <w:t xml:space="preserve">Show coefficient tables with</w:t>
      </w:r>
      <w:r>
        <w:t xml:space="preserve"> </w:t>
      </w:r>
      <w:hyperlink r:id="rId4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2"/>
        </w:numPr>
      </w:pPr>
      <w:r>
        <w:t xml:space="preserve">Draw figures with</w:t>
      </w:r>
      <w:r>
        <w:t xml:space="preserve"> </w:t>
      </w:r>
      <w:hyperlink r:id="rId4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Draw model plots with packages built on ggplot2:</w:t>
      </w:r>
      <w:r>
        <w:t xml:space="preserve"> </w:t>
      </w:r>
      <w:hyperlink r:id="rId5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5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2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5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Ezra’s</w:t>
      </w:r>
      <w:r>
        <w:t xml:space="preserve"> </w:t>
      </w:r>
      <w:hyperlink r:id="rId5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5"/>
    <w:bookmarkStart w:id="59" w:name="manipulate-data-with-dplyr-not-base-r"/>
    <w:p>
      <w:pPr>
        <w:pStyle w:val="Heading2"/>
      </w:pPr>
      <w:r>
        <w:t xml:space="preserve">16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Select columns with</w:t>
      </w:r>
      <w:r>
        <w:t xml:space="preserve"> </w:t>
      </w:r>
      <w:hyperlink r:id="rId5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Drop rows with missing values with</w:t>
      </w:r>
      <w:r>
        <w:t xml:space="preserve"> </w:t>
      </w:r>
      <w:hyperlink r:id="rId5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Build data frames with</w:t>
      </w:r>
      <w:r>
        <w:t xml:space="preserve"> </w:t>
      </w:r>
      <w:hyperlink r:id="rId5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3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9"/>
    <w:bookmarkStart w:id="61" w:name="X2bc6121e3a2f39a37d8a6591d77df16bd22bd0b"/>
    <w:p>
      <w:pPr>
        <w:pStyle w:val="Heading2"/>
      </w:pPr>
      <w:r>
        <w:t xml:space="preserve">17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4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6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4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61"/>
    <w:bookmarkStart w:id="62" w:name="X7c0de8eaf50a5b2644eabf66f1f9b734b8a4a71"/>
    <w:p>
      <w:pPr>
        <w:pStyle w:val="Heading2"/>
      </w:pPr>
      <w:r>
        <w:t xml:space="preserve">18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5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5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5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62"/>
    <w:bookmarkStart w:id="63" w:name="X94063c6448bea82c8f1e8d367c642bbe2eda89b"/>
    <w:p>
      <w:pPr>
        <w:pStyle w:val="Heading2"/>
      </w:pPr>
      <w:r>
        <w:t xml:space="preserve">19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63"/>
    <w:bookmarkStart w:id="64" w:name="Xffa5a3357c8672d830c88e1e58a0ef107550647"/>
    <w:p>
      <w:pPr>
        <w:pStyle w:val="Heading2"/>
      </w:pPr>
      <w:r>
        <w:t xml:space="preserve">20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7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7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7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7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4"/>
    <w:bookmarkStart w:id="65" w:name="make-figures-accessible"/>
    <w:p>
      <w:pPr>
        <w:pStyle w:val="Heading2"/>
      </w:pPr>
      <w:r>
        <w:t xml:space="preserve">21 Make figures accessible</w:t>
      </w:r>
    </w:p>
    <w:p>
      <w:pPr>
        <w:pStyle w:val="Compact"/>
        <w:numPr>
          <w:ilvl w:val="0"/>
          <w:numId w:val="101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5"/>
    <w:bookmarkStart w:id="67" w:name="structure-slides-for-the-reader"/>
    <w:p>
      <w:pPr>
        <w:pStyle w:val="Heading2"/>
      </w:pPr>
      <w:r>
        <w:t xml:space="preserve">22 Structure slides for the reader</w:t>
      </w:r>
    </w:p>
    <w:p>
      <w:pPr>
        <w:pStyle w:val="Compact"/>
        <w:numPr>
          <w:ilvl w:val="0"/>
          <w:numId w:val="101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7"/>
    <w:bookmarkStart w:id="69" w:name="X5f21f12cbfc4e3df5e838110af4e52db506fec1"/>
    <w:p>
      <w:pPr>
        <w:pStyle w:val="Heading2"/>
      </w:pPr>
      <w:r>
        <w:t xml:space="preserve">23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20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20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20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20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8" w:name="exm-note-sheet-rows"/>
    <w:p>
      <w:pPr>
        <w:pStyle w:val="BodyText"/>
      </w:pPr>
      <w:r>
        <w:rPr>
          <w:b/>
          <w:bCs/>
        </w:rPr>
        <w:t xml:space="preserve">Example 6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8"/>
    <w:bookmarkEnd w:id="69"/>
    <w:bookmarkStart w:id="70" w:name="talk-about-the-ideas-not-the-notes"/>
    <w:p>
      <w:pPr>
        <w:pStyle w:val="Heading2"/>
      </w:pPr>
      <w:r>
        <w:t xml:space="preserve">24 Talk about the ideas, not the notes</w:t>
      </w:r>
    </w:p>
    <w:p>
      <w:pPr>
        <w:pStyle w:val="FirstParagraph"/>
      </w:pPr>
      <w:r>
        <w:t xml:space="preserve">When a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1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1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70"/>
    <w:bookmarkStart w:id="72" w:name="write-grading-rubrics-as-checklists"/>
    <w:p>
      <w:pPr>
        <w:pStyle w:val="Heading2"/>
      </w:pPr>
      <w:r>
        <w:t xml:space="preserve">25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2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2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2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2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2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71" w:name="exm-rubric-checklist"/>
    <w:p>
      <w:pPr>
        <w:pStyle w:val="FirstParagraph"/>
      </w:pPr>
      <w:r>
        <w:rPr>
          <w:b/>
          <w:bCs/>
        </w:rPr>
        <w:t xml:space="preserve">Example 7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71"/>
    <w:bookmarkEnd w:id="72"/>
    <w:bookmarkStart w:id="76" w:name="Xcb579568ef754486ebde8b41ba4528bdf380eec"/>
    <w:p>
      <w:pPr>
        <w:pStyle w:val="Heading2"/>
      </w:pPr>
      <w:r>
        <w:t xml:space="preserve">26 Credit other courses without summarizing them</w:t>
      </w:r>
    </w:p>
    <w:p>
      <w:pPr>
        <w:pStyle w:val="Compact"/>
        <w:numPr>
          <w:ilvl w:val="0"/>
          <w:numId w:val="102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7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Title a section by its topic, not by its author or course.</w:t>
      </w:r>
      <w:r>
        <w:t xml:space="preserve"> </w:t>
      </w:r>
      <w:hyperlink r:id="rId7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6"/>
    <w:bookmarkStart w:id="85" w:name="rules-that-apply-to-all-writing"/>
    <w:p>
      <w:pPr>
        <w:pStyle w:val="Heading2"/>
      </w:pPr>
      <w:r>
        <w:t xml:space="preserve">27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4"/>
        </w:numPr>
      </w:pPr>
      <w:hyperlink r:id="rId7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7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4"/>
        </w:numPr>
      </w:pPr>
      <w:hyperlink r:id="rId7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8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4"/>
        </w:numPr>
      </w:pPr>
      <w:hyperlink r:id="rId8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4" w:name="refs"/>
    <w:bookmarkStart w:id="8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8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81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78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2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0" Target="word-choice.qmd#avoid-vague-and-metaphorical-language" TargetMode="External" /><Relationship Type="http://schemas.openxmlformats.org/officeDocument/2006/relationships/hyperlink" Id="rId7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avoid-cliches.qmd" TargetMode="External" /><Relationship Type="http://schemas.openxmlformats.org/officeDocument/2006/relationships/hyperlink" Id="rId73" Target="citations-evidence.qmd#adapting-another-courses-material" TargetMode="External" /><Relationship Type="http://schemas.openxmlformats.org/officeDocument/2006/relationships/hyperlink" Id="rId75" Target="citations-evidence.qmd#put-the-content-first" TargetMode="External" /><Relationship Type="http://schemas.openxmlformats.org/officeDocument/2006/relationships/hyperlink" Id="rId74" Target="citations-evidence.qmd#quote-the-original" TargetMode="External" /><Relationship Type="http://schemas.openxmlformats.org/officeDocument/2006/relationships/hyperlink" Id="rId77" Target="conciseness.qmd#lead-with-the-subject" TargetMode="External" /><Relationship Type="http://schemas.openxmlformats.org/officeDocument/2006/relationships/hyperlink" Id="rId66" Target="conciseness.qmd#put-lists-in-bullet-points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29" Target="defining-terms.qmd#def-variance-expression-and-prose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78" Target="grammar.qmd#demonstrative-pronouns" TargetMode="External" /><Relationship Type="http://schemas.openxmlformats.org/officeDocument/2006/relationships/hyperlink" Id="rId53" Target="https://cran.r-project.org/package=broom" TargetMode="External" /><Relationship Type="http://schemas.openxmlformats.org/officeDocument/2006/relationships/hyperlink" Id="rId48" Target="https://cran.r-project.org/package=gtsummary" TargetMode="External" /><Relationship Type="http://schemas.openxmlformats.org/officeDocument/2006/relationships/hyperlink" Id="rId82" Target="https://doi.org/10.1073/pnas.1319030111" TargetMode="External" /><Relationship Type="http://schemas.openxmlformats.org/officeDocument/2006/relationships/hyperlink" Id="rId56" Target="https://dplyr.tidyverse.org/" TargetMode="External" /><Relationship Type="http://schemas.openxmlformats.org/officeDocument/2006/relationships/hyperlink" Id="rId47" Target="https://easystats.github.io/parameters/" TargetMode="External" /><Relationship Type="http://schemas.openxmlformats.org/officeDocument/2006/relationships/hyperlink" Id="rId52" Target="https://easystats.github.io/performance/" TargetMode="External" /><Relationship Type="http://schemas.openxmlformats.org/officeDocument/2006/relationships/hyperlink" Id="rId18" Target="https://en.wikipedia.org/wiki/Modular_programming" TargetMode="External" /><Relationship Type="http://schemas.openxmlformats.org/officeDocument/2006/relationships/hyperlink" Id="rId49" Target="https://ggplot2.tidyverse.org/" TargetMode="External" /><Relationship Type="http://schemas.openxmlformats.org/officeDocument/2006/relationships/hyperlink" Id="rId43" Target="https://github.com/Morrison-Lab/ISLR-tidymodels-labs" TargetMode="External" /><Relationship Type="http://schemas.openxmlformats.org/officeDocument/2006/relationships/hyperlink" Id="rId35" Target="https://github.com/Morrison-Lab/ai-config/pull/4386" TargetMode="External" /><Relationship Type="http://schemas.openxmlformats.org/officeDocument/2006/relationships/hyperlink" Id="rId12" Target="https://github.com/Morrison-Lab/gha" TargetMode="External" /><Relationship Type="http://schemas.openxmlformats.org/officeDocument/2006/relationships/hyperlink" Id="rId36" Target="https://github.com/Morrison-Lab/gha/issues/1193" TargetMode="External" /><Relationship Type="http://schemas.openxmlformats.org/officeDocument/2006/relationships/hyperlink" Id="rId15" Target="https://github.com/Morrison-Lab/gha/issues/1290" TargetMode="External" /><Relationship Type="http://schemas.openxmlformats.org/officeDocument/2006/relationships/hyperlink" Id="rId13" Target="https://github.com/Morrison-Lab/gha/issues/1309" TargetMode="External" /><Relationship Type="http://schemas.openxmlformats.org/officeDocument/2006/relationships/hyperlink" Id="rId37" Target="https://github.com/Morrison-Lab/gha/pull/1262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44" Target="https://github.com/intro-stat-learning/ISLP_labs" TargetMode="External" /><Relationship Type="http://schemas.openxmlformats.org/officeDocument/2006/relationships/hyperlink" Id="rId60" Target="https://github.com/quarto-ext/include-code-files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51" Target="https://strengejacke.github.io/ggeffects/" TargetMode="External" /><Relationship Type="http://schemas.openxmlformats.org/officeDocument/2006/relationships/hyperlink" Id="rId50" Target="https://strengejacke.github.io/sjPlot/" TargetMode="External" /><Relationship Type="http://schemas.openxmlformats.org/officeDocument/2006/relationships/hyperlink" Id="rId58" Target="https://tibble.tidyverse.org/" TargetMode="External" /><Relationship Type="http://schemas.openxmlformats.org/officeDocument/2006/relationships/hyperlink" Id="rId57" Target="https://tidyr.tidyverse.org/" TargetMode="External" /><Relationship Type="http://schemas.openxmlformats.org/officeDocument/2006/relationships/hyperlink" Id="rId42" Target="https://www.tidymodels.org/" TargetMode="External" /><Relationship Type="http://schemas.openxmlformats.org/officeDocument/2006/relationships/hyperlink" Id="rId19" Target="notation.qmd#making-expressions-concise" TargetMode="External" /><Relationship Type="http://schemas.openxmlformats.org/officeDocument/2006/relationships/hyperlink" Id="rId38" Target="paper-organization.qmd#figures-and-tables" TargetMode="External" /><Relationship Type="http://schemas.openxmlformats.org/officeDocument/2006/relationships/hyperlink" Id="rId80" Target="word-choice.qmd#avoid-vague-and-metaphorical-language" TargetMode="External" /><Relationship Type="http://schemas.openxmlformats.org/officeDocument/2006/relationships/hyperlink" Id="rId7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2026-10-29T08:09:55Z</dcterms:created>
  <dcterms:modified xsi:type="dcterms:W3CDTF">2026-10-29T08:09:55Z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