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2026-10-27 20:34:06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20:44:41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Make each exercise ask for one thing (Ezra, 2026-10-27).</w:t>
      </w:r>
      <w:r>
        <w:t xml:space="preserve"> </w:t>
      </w:r>
      <w:r>
        <w:t xml:space="preserve">A prompt that says</w:t>
      </w:r>
      <w:r>
        <w:t xml:space="preserve"> </w:t>
      </w:r>
      <w:r>
        <w:t xml:space="preserve">“compute the slope, and compare it with the fitted value”</w:t>
      </w:r>
      <w:r>
        <w:t xml:space="preserve"> </w:t>
      </w:r>
      <w:r>
        <w:t xml:space="preserve">asks for two things, so split it into two exercises,</w:t>
      </w:r>
      <w:r>
        <w:t xml:space="preserve"> </w:t>
      </w:r>
      <w:r>
        <w:t xml:space="preserve">each with its own solution.</w:t>
      </w:r>
      <w:r>
        <w:t xml:space="preserve"> </w:t>
      </w:r>
      <w:r>
        <w:t xml:space="preserve">Split a list item or step inside an exercise the same way,</w:t>
      </w:r>
      <w:r>
        <w:t xml:space="preserve"> </w:t>
      </w:r>
      <w:r>
        <w:t xml:space="preserve">into separate exercises.</w:t>
      </w:r>
      <w:r>
        <w:t xml:space="preserve"> </w:t>
      </w:r>
      <w:r>
        <w:t xml:space="preserve">Phrases such as</w:t>
      </w:r>
      <w:r>
        <w:t xml:space="preserve"> </w:t>
      </w:r>
      <w:r>
        <w:t xml:space="preserve">“and then”</w:t>
      </w:r>
      <w:r>
        <w:t xml:space="preserve">,</w:t>
      </w:r>
      <w:r>
        <w:t xml:space="preserve"> </w:t>
      </w:r>
      <w:r>
        <w:t xml:space="preserve">“and also”</w:t>
      </w:r>
      <w:r>
        <w:t xml:space="preserve">, and</w:t>
      </w:r>
      <w:r>
        <w:t xml:space="preserve"> </w:t>
      </w:r>
      <w:r>
        <w:t xml:space="preserve">“and compare”</w:t>
      </w:r>
      <w:r>
        <w:t xml:space="preserve"> </w:t>
      </w:r>
      <w:r>
        <w:t xml:space="preserve">mark a second ask.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encounters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encounter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31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27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div whose title mentions visualization</w:t>
      </w:r>
      <w:r>
        <w:t xml:space="preserve"> </w:t>
      </w:r>
      <w:r>
        <w:t xml:space="preserve">(</w:t>
      </w:r>
      <w:r>
        <w:rPr>
          <w:i/>
          <w:iCs/>
        </w:rPr>
        <w:t xml:space="preserve">visualize</w:t>
      </w:r>
      <w:r>
        <w:t xml:space="preserve">,</w:t>
      </w:r>
      <w:r>
        <w:t xml:space="preserve"> </w:t>
      </w:r>
      <w:r>
        <w:rPr>
          <w:i/>
          <w:iCs/>
        </w:rPr>
        <w:t xml:space="preserve">visualizing</w:t>
      </w:r>
      <w:r>
        <w:t xml:space="preserve">,</w:t>
      </w:r>
      <w:r>
        <w:t xml:space="preserve"> </w:t>
      </w:r>
      <w:r>
        <w:rPr>
          <w:i/>
          <w:iCs/>
        </w:rPr>
        <w:t xml:space="preserve">visualization</w:t>
      </w:r>
      <w:r>
        <w:t xml:space="preserve">) a corresponding figure (Ezra, 2026-10-26).</w:t>
      </w:r>
      <w:r>
        <w:t xml:space="preserve"> </w:t>
      </w:r>
      <w:r>
        <w:t xml:space="preserve">For an exercise, the figure may sit in the exercise or in its solution.</w:t>
      </w:r>
      <w:r>
        <w:t xml:space="preserve"> </w:t>
      </w:r>
      <w:r>
        <w:t xml:space="preserve">The rule also covers any div that asks for a picture:</w:t>
      </w:r>
      <w:r>
        <w:t xml:space="preserve"> </w:t>
      </w:r>
      <w:r>
        <w:t xml:space="preserve">a title or an exercise prompt that says</w:t>
      </w:r>
      <w:r>
        <w:t xml:space="preserve"> </w:t>
      </w:r>
      <w:r>
        <w:rPr>
          <w:i/>
          <w:iCs/>
        </w:rPr>
        <w:t xml:space="preserve">plot</w:t>
      </w:r>
      <w:r>
        <w:t xml:space="preserve">,</w:t>
      </w:r>
      <w:r>
        <w:t xml:space="preserve"> </w:t>
      </w:r>
      <w:r>
        <w:rPr>
          <w:i/>
          <w:iCs/>
        </w:rPr>
        <w:t xml:space="preserve">sketch</w:t>
      </w:r>
      <w:r>
        <w:t xml:space="preserve">,</w:t>
      </w:r>
      <w:r>
        <w:t xml:space="preserve"> </w:t>
      </w:r>
      <w:r>
        <w:rPr>
          <w:i/>
          <w:iCs/>
        </w:rPr>
        <w:t xml:space="preserve">draw</w:t>
      </w:r>
      <w:r>
        <w:t xml:space="preserve">,</w:t>
      </w:r>
      <w:r>
        <w:t xml:space="preserve"> </w:t>
      </w:r>
      <w:r>
        <w:rPr>
          <w:i/>
          <w:iCs/>
        </w:rPr>
        <w:t xml:space="preserve">diagram</w:t>
      </w:r>
      <w:r>
        <w:t xml:space="preserve">, or</w:t>
      </w:r>
      <w:r>
        <w:t xml:space="preserve"> </w:t>
      </w:r>
      <w:r>
        <w:rPr>
          <w:i/>
          <w:iCs/>
        </w:rPr>
        <w:t xml:space="preserve">contour</w:t>
      </w:r>
      <w:r>
        <w:t xml:space="preserve"> </w:t>
      </w:r>
      <w:r>
        <w:t xml:space="preserve">(in any inflection, such as</w:t>
      </w:r>
      <w:r>
        <w:t xml:space="preserve"> </w:t>
      </w:r>
      <w:r>
        <w:rPr>
          <w:i/>
          <w:iCs/>
        </w:rPr>
        <w:t xml:space="preserve">plotting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sketching</w:t>
      </w:r>
      <w:r>
        <w:t xml:space="preserve">),</w:t>
      </w:r>
      <w:r>
        <w:t xml:space="preserve"> </w:t>
      </w:r>
      <w:r>
        <w:t xml:space="preserve">or that asks the reader to mark points on a surface.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check-visualization-figures</w:t>
      </w:r>
      <w:r>
        <w:t xml:space="preserve"> </w:t>
      </w:r>
      <w:r>
        <w:t xml:space="preserve">workflow in</w:t>
      </w:r>
      <w:r>
        <w:t xml:space="preserve"> </w:t>
      </w:r>
      <w:hyperlink r:id="rId27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such div that has no figure in it or in its solution,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comment inside the div suppresses that report,</w:t>
      </w:r>
      <w:r>
        <w:t xml:space="preserve"> </w:t>
      </w:r>
      <w:r>
        <w:t xml:space="preserve">as it does for an example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gha#1262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encounters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30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31"/>
    <w:bookmarkStart w:id="33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32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32"/>
    <w:bookmarkEnd w:id="33"/>
    <w:bookmarkStart w:id="37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4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5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6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7"/>
    <w:bookmarkStart w:id="38" w:name="Xf53ecb3398b87b82ffd1a126dd02e87a65bb694"/>
    <w:p>
      <w:pPr>
        <w:pStyle w:val="Heading2"/>
      </w:pPr>
      <w:r>
        <w:t xml:space="preserve">12 Keep each step’s code in one chunk, and put parallel chunks in a language tabset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09"/>
        </w:numPr>
      </w:pPr>
      <w:r>
        <w:t xml:space="preserve">Put parallel versions of one computation in one language tabset, never one chunk after another.</w:t>
      </w:r>
      <w:r>
        <w:t xml:space="preserve"> </w:t>
      </w:r>
      <w:r>
        <w:t xml:space="preserve">A reader should see one language at a time.</w:t>
      </w:r>
    </w:p>
    <w:p>
      <w:pPr>
        <w:pStyle w:val="Compact"/>
        <w:numPr>
          <w:ilvl w:val="0"/>
          <w:numId w:val="1009"/>
        </w:numPr>
      </w:pPr>
      <w:r>
        <w:t xml:space="preserve">Write one chunk for each step of the computation.</w:t>
      </w:r>
      <w:r>
        <w:t xml:space="preserve"> </w:t>
      </w:r>
      <w:r>
        <w:t xml:space="preserve">A figure’s code is one chunk, even when it takes ten lines.</w:t>
      </w:r>
    </w:p>
    <w:p>
      <w:pPr>
        <w:pStyle w:val="Compact"/>
        <w:numPr>
          <w:ilvl w:val="0"/>
          <w:numId w:val="1009"/>
        </w:numPr>
      </w:pPr>
      <w:r>
        <w:t xml:space="preserve">Split a chunk only for a reason that the reader can see: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Own label or options</w:t>
      </w:r>
      <w:r>
        <w:t xml:space="preserve">: the second part needs its own label, caption or chunk options.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Separate output</w:t>
      </w:r>
      <w:r>
        <w:t xml:space="preserve">: the second part shows output that the first part should not.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Dependent prose</w:t>
      </w:r>
      <w:r>
        <w:t xml:space="preserve">: prose between the parts needs the first part’s output.</w:t>
      </w:r>
    </w:p>
    <w:p>
      <w:pPr>
        <w:pStyle w:val="Compact"/>
        <w:numPr>
          <w:ilvl w:val="0"/>
          <w:numId w:val="1009"/>
        </w:numPr>
      </w:pPr>
      <w:r>
        <w:t xml:space="preserve">Do not split a chunk to name its parts, or to keep it short.</w:t>
      </w:r>
      <w:r>
        <w:t xml:space="preserve"> </w:t>
      </w:r>
      <w:r>
        <w:t xml:space="preserve">Comments name the parts</w:t>
      </w:r>
      <w:r>
        <w:t xml:space="preserve"> </w:t>
      </w:r>
      <w:r>
        <w:t xml:space="preserve">(see</w:t>
      </w:r>
      <w:r>
        <w:t xml:space="preserve"> </w:t>
      </w:r>
      <w:hyperlink w:anchor="X7c0de8eaf50a5b2644eabf66f1f9b734b8a4a71">
        <w:r>
          <w:rPr>
            <w:rStyle w:val="Hyperlink"/>
          </w:rPr>
          <w:t xml:space="preserve">Comment every code chunk to say what and why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Give a chunk that only stores values for later code or inline code</w:t>
      </w:r>
      <w:r>
        <w:t xml:space="preserve"> </w:t>
      </w:r>
      <w:r>
        <w:rPr>
          <w:rStyle w:val="VerbatimChar"/>
        </w:rPr>
        <w:t xml:space="preserve">#| include: false</w:t>
      </w:r>
      <w:r>
        <w:t xml:space="preserve">.</w:t>
      </w:r>
      <w:r>
        <w:t xml:space="preserve"> </w:t>
      </w:r>
      <w:r>
        <w:t xml:space="preserve">When the chunk that computes those values is already hidden, merge the storing code into that chunk.</w:t>
      </w:r>
    </w:p>
    <w:p>
      <w:pPr>
        <w:pStyle w:val="Compact"/>
        <w:numPr>
          <w:ilvl w:val="0"/>
          <w:numId w:val="1009"/>
        </w:numPr>
      </w:pPr>
      <w:r>
        <w:t xml:space="preserve">Check for output that splits a chunk without a reason.</w:t>
      </w:r>
      <w:r>
        <w:t xml:space="preserve"> </w:t>
      </w:r>
      <w:r>
        <w:t xml:space="preserve">In Python, reticulate prints the value of each top-level call that returns something other than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and shows the chunk as one code block per printed value,</w:t>
      </w:r>
      <w:r>
        <w:t xml:space="preserve"> </w:t>
      </w:r>
      <w:r>
        <w:t xml:space="preserve">such as a</w:t>
      </w:r>
      <w:r>
        <w:t xml:space="preserve"> </w:t>
      </w:r>
      <w:r>
        <w:rPr>
          <w:rStyle w:val="VerbatimChar"/>
        </w:rPr>
        <w:t xml:space="preserve">&lt;matplotlib.lines.Line2D object at 0x...&gt;</w:t>
      </w:r>
      <w:r>
        <w:t xml:space="preserve"> </w:t>
      </w:r>
      <w:r>
        <w:t xml:space="preserve">line after every</w:t>
      </w:r>
      <w:r>
        <w:t xml:space="preserve"> </w:t>
      </w:r>
      <w:r>
        <w:rPr>
          <w:rStyle w:val="VerbatimChar"/>
        </w:rPr>
        <w:t xml:space="preserve">ax.plot(...)</w:t>
      </w:r>
      <w:r>
        <w:t xml:space="preserve">.</w:t>
      </w:r>
      <w:r>
        <w:t xml:space="preserve"> </w:t>
      </w:r>
      <w:r>
        <w:t xml:space="preserve">End each such call with a semicolon, or assign its value.</w:t>
      </w:r>
    </w:p>
    <w:bookmarkEnd w:id="38"/>
    <w:bookmarkStart w:id="47" w:name="present-r-results-with-modern-packages"/>
    <w:p>
      <w:pPr>
        <w:pStyle w:val="Heading2"/>
      </w:pPr>
      <w:r>
        <w:t xml:space="preserve">13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1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11"/>
        </w:numPr>
      </w:pPr>
      <w:r>
        <w:t xml:space="preserve">Show coefficient tables with</w:t>
      </w:r>
      <w:r>
        <w:t xml:space="preserve"> </w:t>
      </w:r>
      <w:hyperlink r:id="rId39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40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11"/>
        </w:numPr>
      </w:pPr>
      <w:r>
        <w:t xml:space="preserve">Draw figures with</w:t>
      </w:r>
      <w:r>
        <w:t xml:space="preserve"> </w:t>
      </w:r>
      <w:hyperlink r:id="rId41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Draw model plots with packages built on ggplot2:</w:t>
      </w:r>
      <w:r>
        <w:t xml:space="preserve"> </w:t>
      </w:r>
      <w:hyperlink r:id="rId42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43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11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5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Ezra’s</w:t>
      </w:r>
      <w:r>
        <w:t xml:space="preserve"> </w:t>
      </w:r>
      <w:hyperlink r:id="rId46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7"/>
    <w:bookmarkStart w:id="51" w:name="manipulate-data-with-dplyr-not-base-r"/>
    <w:p>
      <w:pPr>
        <w:pStyle w:val="Heading2"/>
      </w:pPr>
      <w:r>
        <w:t xml:space="preserve">14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2"/>
        </w:numPr>
      </w:pPr>
      <w:r>
        <w:t xml:space="preserve">Select columns with</w:t>
      </w:r>
      <w:r>
        <w:t xml:space="preserve"> </w:t>
      </w:r>
      <w:hyperlink r:id="rId48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Drop rows with missing values with</w:t>
      </w:r>
      <w:r>
        <w:t xml:space="preserve"> </w:t>
      </w:r>
      <w:hyperlink r:id="rId49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Build data frames with</w:t>
      </w:r>
      <w:r>
        <w:t xml:space="preserve"> </w:t>
      </w:r>
      <w:hyperlink r:id="rId50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2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51"/>
    <w:bookmarkStart w:id="53" w:name="X2bc6121e3a2f39a37d8a6591d77df16bd22bd0b"/>
    <w:p>
      <w:pPr>
        <w:pStyle w:val="Heading2"/>
      </w:pPr>
      <w:r>
        <w:t xml:space="preserve">15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3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52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3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53"/>
    <w:bookmarkStart w:id="54" w:name="X7c0de8eaf50a5b2644eabf66f1f9b734b8a4a71"/>
    <w:p>
      <w:pPr>
        <w:pStyle w:val="Heading2"/>
      </w:pPr>
      <w:r>
        <w:t xml:space="preserve">16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4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4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4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4"/>
    <w:bookmarkStart w:id="55" w:name="X94063c6448bea82c8f1e8d367c642bbe2eda89b"/>
    <w:p>
      <w:pPr>
        <w:pStyle w:val="Heading2"/>
      </w:pPr>
      <w:r>
        <w:t xml:space="preserve">17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5"/>
    <w:bookmarkStart w:id="56" w:name="Xffa5a3357c8672d830c88e1e58a0ef107550647"/>
    <w:p>
      <w:pPr>
        <w:pStyle w:val="Heading2"/>
      </w:pPr>
      <w:r>
        <w:t xml:space="preserve">18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6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encounters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6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6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6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6"/>
    <w:bookmarkStart w:id="57" w:name="make-figures-accessible"/>
    <w:p>
      <w:pPr>
        <w:pStyle w:val="Heading2"/>
      </w:pPr>
      <w:r>
        <w:t xml:space="preserve">19 Make figures accessible</w:t>
      </w:r>
    </w:p>
    <w:p>
      <w:pPr>
        <w:pStyle w:val="Compact"/>
        <w:numPr>
          <w:ilvl w:val="0"/>
          <w:numId w:val="1017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7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7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7"/>
    <w:bookmarkStart w:id="59" w:name="structure-slides-for-the-reader"/>
    <w:p>
      <w:pPr>
        <w:pStyle w:val="Heading2"/>
      </w:pPr>
      <w:r>
        <w:t xml:space="preserve">20 Structure slides for the reader</w:t>
      </w:r>
    </w:p>
    <w:p>
      <w:pPr>
        <w:pStyle w:val="Compact"/>
        <w:numPr>
          <w:ilvl w:val="0"/>
          <w:numId w:val="1018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8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8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8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8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8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8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8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9"/>
    <w:bookmarkStart w:id="61" w:name="X5f21f12cbfc4e3df5e838110af4e52db506fec1"/>
    <w:p>
      <w:pPr>
        <w:pStyle w:val="Heading2"/>
      </w:pPr>
      <w:r>
        <w:t xml:space="preserve">21 Give each concept in a note sheet its own row</w:t>
      </w:r>
    </w:p>
    <w:p>
      <w:pPr>
        <w:pStyle w:val="FirstParagraph"/>
      </w:pPr>
      <w:r>
        <w:t xml:space="preserve">A note sheet is a reference table of formulas with brief labels and no prose.</w:t>
      </w:r>
      <w:r>
        <w:t xml:space="preserve"> </w:t>
      </w:r>
      <w:r>
        <w:t xml:space="preserve">This is one case of</w:t>
      </w:r>
      <w:r>
        <w:t xml:space="preserve"> </w:t>
      </w:r>
      <w:hyperlink w:anchor="Xb68f5757ebba706c680e7c5ed557ac14973d7af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  <w:r>
        <w:t xml:space="preserve"> </w:t>
      </w:r>
      <w:r>
        <w:t xml:space="preserve">Give each concept its own row.</w:t>
      </w:r>
      <w:r>
        <w:t xml:space="preserve"> </w:t>
      </w:r>
      <w:r>
        <w:t xml:space="preserve">A row holds one formula and one short label.</w:t>
      </w:r>
    </w:p>
    <w:p>
      <w:pPr>
        <w:pStyle w:val="Compact"/>
        <w:numPr>
          <w:ilvl w:val="0"/>
          <w:numId w:val="1019"/>
        </w:numPr>
      </w:pPr>
      <w:r>
        <w:t xml:space="preserve">Never put two definitions in one row.</w:t>
      </w:r>
    </w:p>
    <w:p>
      <w:pPr>
        <w:pStyle w:val="Compact"/>
        <w:numPr>
          <w:ilvl w:val="0"/>
          <w:numId w:val="1019"/>
        </w:numPr>
      </w:pPr>
      <w:r>
        <w:t xml:space="preserve">Never merge rows to save space.</w:t>
      </w:r>
      <w:r>
        <w:t xml:space="preserve"> </w:t>
      </w:r>
      <w:r>
        <w:t xml:space="preserve">Find the room another way, such as a smaller table font or a second table beside the first.</w:t>
      </w:r>
    </w:p>
    <w:p>
      <w:pPr>
        <w:pStyle w:val="Compact"/>
        <w:numPr>
          <w:ilvl w:val="0"/>
          <w:numId w:val="1019"/>
        </w:numPr>
      </w:pPr>
      <w:r>
        <w:t xml:space="preserve">Never put notation or assumptions inside a label.</w:t>
      </w:r>
      <w:r>
        <w:t xml:space="preserve"> </w:t>
      </w:r>
      <w:r>
        <w:t xml:space="preserve">Give each assumption its own row, and state the notation once in its own row.</w:t>
      </w:r>
    </w:p>
    <w:p>
      <w:pPr>
        <w:pStyle w:val="Compact"/>
        <w:numPr>
          <w:ilvl w:val="0"/>
          <w:numId w:val="1019"/>
        </w:numPr>
      </w:pPr>
      <w:r>
        <w:t xml:space="preserve">Write each formula in its most compact form,</w:t>
      </w:r>
      <w:r>
        <w:t xml:space="preserve"> </w:t>
      </w:r>
      <w:r>
        <w:t xml:space="preserve">built from pieces that have their own rows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FirstParagraph"/>
      </w:pPr>
      <w:r>
        <w:t xml:space="preserve">The same rule applies to every other reference table, such as a table of notation.</w:t>
      </w:r>
    </w:p>
    <w:bookmarkStart w:id="60" w:name="exm-note-sheet-rows"/>
    <w:p>
      <w:pPr>
        <w:pStyle w:val="BodyText"/>
      </w:pPr>
      <w:r>
        <w:rPr>
          <w:b/>
          <w:bCs/>
        </w:rPr>
        <w:t xml:space="preserve">Example 5 (Splitting a merged row)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Row:</w:t>
      </w:r>
      <w:r>
        <w:t xml:space="preserve"> </w:t>
      </w:r>
      <w:r>
        <w:rPr>
          <w:rStyle w:val="VerbatimChar"/>
        </w:rPr>
        <w:t xml:space="preserve">Dot product, sample mean</w:t>
      </w:r>
      <w:r>
        <w:t xml:space="preserve">, with both formulas in one cell.</w:t>
      </w:r>
    </w:p>
    <w:p>
      <w:pPr>
        <w:pStyle w:val="BlockText"/>
      </w:pPr>
      <w:r>
        <w:t xml:space="preserve">✅ Rows:</w:t>
      </w:r>
      <w:r>
        <w:t xml:space="preserve"> </w:t>
      </w:r>
      <w:r>
        <w:rPr>
          <w:rStyle w:val="VerbatimChar"/>
        </w:rPr>
        <w:t xml:space="preserve">Dot product</w:t>
      </w:r>
      <w:r>
        <w:t xml:space="preserve"> </w:t>
      </w:r>
      <w:r>
        <w:t xml:space="preserve">with its formula, then</w:t>
      </w:r>
      <w:r>
        <w:t xml:space="preserve"> </w:t>
      </w:r>
      <w:r>
        <w:rPr>
          <w:rStyle w:val="VerbatimChar"/>
        </w:rPr>
        <w:t xml:space="preserve">Sample mean</w:t>
      </w:r>
      <w:r>
        <w:t xml:space="preserve"> </w:t>
      </w:r>
      <w:r>
        <w:t xml:space="preserve">with its formula.</w:t>
      </w:r>
    </w:p>
    <w:p>
      <w:pPr>
        <w:pStyle w:val="FirstParagraph"/>
      </w:pPr>
      <w:r>
        <w:t xml:space="preserve">The ❌ row makes the reader find where one concept ends and the next begins.</w:t>
      </w:r>
      <w:r>
        <w:t xml:space="preserve"> </w:t>
      </w:r>
      <w:r>
        <w:t xml:space="preserve">The ✅ rows let the reader find one formula by one label.</w:t>
      </w:r>
    </w:p>
    <w:bookmarkEnd w:id="60"/>
    <w:bookmarkEnd w:id="61"/>
    <w:bookmarkStart w:id="62" w:name="talk-about-the-ideas-not-the-notes"/>
    <w:p>
      <w:pPr>
        <w:pStyle w:val="Heading2"/>
      </w:pPr>
      <w:r>
        <w:t xml:space="preserve">22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20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20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62"/>
    <w:bookmarkStart w:id="64" w:name="write-grading-rubrics-as-checklists"/>
    <w:p>
      <w:pPr>
        <w:pStyle w:val="Heading2"/>
      </w:pPr>
      <w:r>
        <w:t xml:space="preserve">23 Write grading rubrics as checklists</w:t>
      </w:r>
    </w:p>
    <w:p>
      <w:pPr>
        <w:pStyle w:val="FirstParagraph"/>
      </w:pPr>
      <w:r>
        <w:t xml:space="preserve">Structure the rubric for most STEM questions as a checklist</w:t>
      </w:r>
      <w:r>
        <w:t xml:space="preserve"> </w:t>
      </w:r>
      <w:r>
        <w:t xml:space="preserve">(Ezra, 2026-10-26).</w:t>
      </w:r>
      <w:r>
        <w:t xml:space="preserve"> </w:t>
      </w:r>
      <w:r>
        <w:t xml:space="preserve">A grader then marks each item as earned or not,</w:t>
      </w:r>
      <w:r>
        <w:t xml:space="preserve"> </w:t>
      </w:r>
      <w:r>
        <w:t xml:space="preserve">and the points are the sum of the earned items.</w:t>
      </w:r>
      <w:r>
        <w:t xml:space="preserve"> </w:t>
      </w:r>
      <w:r>
        <w:t xml:space="preserve">A rubric written as a paragraph makes the grader reconstruct the items,</w:t>
      </w:r>
      <w:r>
        <w:t xml:space="preserve"> </w:t>
      </w:r>
      <w:r>
        <w:t xml:space="preserve">and two graders reconstruct different items.</w:t>
      </w:r>
    </w:p>
    <w:p>
      <w:pPr>
        <w:pStyle w:val="Compact"/>
        <w:numPr>
          <w:ilvl w:val="0"/>
          <w:numId w:val="1021"/>
        </w:numPr>
      </w:pPr>
      <w:r>
        <w:t xml:space="preserve">Write one checklist item per observable criterion,</w:t>
      </w:r>
      <w:r>
        <w:t xml:space="preserve"> </w:t>
      </w:r>
      <w:r>
        <w:t xml:space="preserve">and put its points first.</w:t>
      </w:r>
    </w:p>
    <w:p>
      <w:pPr>
        <w:pStyle w:val="Compact"/>
        <w:numPr>
          <w:ilvl w:val="0"/>
          <w:numId w:val="1021"/>
        </w:numPr>
      </w:pPr>
      <w:r>
        <w:t xml:space="preserve">Make the points of the items sum to the question’s points,</w:t>
      </w:r>
      <w:r>
        <w:t xml:space="preserve"> </w:t>
      </w:r>
      <w:r>
        <w:t xml:space="preserve">and state that total in the line that introduces the checklist.</w:t>
      </w:r>
    </w:p>
    <w:p>
      <w:pPr>
        <w:pStyle w:val="Compact"/>
        <w:numPr>
          <w:ilvl w:val="0"/>
          <w:numId w:val="1021"/>
        </w:numPr>
      </w:pPr>
      <w:r>
        <w:t xml:space="preserve">Write each item so that it is either met or not met.</w:t>
      </w:r>
      <w:r>
        <w:t xml:space="preserve"> </w:t>
      </w:r>
      <w:r>
        <w:t xml:space="preserve">Name the answer or the evidence that meets the criterion, as in</w:t>
      </w:r>
      <w:r>
        <w:t xml:space="preserve"> </w:t>
      </w:r>
      <w:r>
        <w:t xml:space="preserve">“cites the gap between training and CV MSE”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List an acceptable alternative answer as a sub-bullet without points</w:t>
      </w:r>
      <w:r>
        <w:t xml:space="preserve"> </w:t>
      </w:r>
      <w:r>
        <w:t xml:space="preserve">under the item it also satisfies,</w:t>
      </w:r>
      <w:r>
        <w:t xml:space="preserve"> </w:t>
      </w:r>
      <w:r>
        <w:t xml:space="preserve">so the items still sum to the question’s points.</w:t>
      </w:r>
      <w:r>
        <w:t xml:space="preserve"> </w:t>
      </w:r>
      <w:r>
        <w:t xml:space="preserve">Do not put the alternative in a separate paragraph.</w:t>
      </w:r>
    </w:p>
    <w:p>
      <w:pPr>
        <w:pStyle w:val="Compact"/>
        <w:numPr>
          <w:ilvl w:val="0"/>
          <w:numId w:val="1021"/>
        </w:numPr>
      </w:pPr>
      <w:r>
        <w:t xml:space="preserve">Keep the rubric in the solution, after the answer,</w:t>
      </w:r>
      <w:r>
        <w:t xml:space="preserve"> </w:t>
      </w:r>
      <w:r>
        <w:t xml:space="preserve">so a course that withholds solutions from students withholds the rubric too.</w:t>
      </w:r>
    </w:p>
    <w:p>
      <w:pPr>
        <w:pStyle w:val="Compact"/>
        <w:numPr>
          <w:ilvl w:val="0"/>
          <w:numId w:val="1021"/>
        </w:numPr>
      </w:pPr>
      <w:r>
        <w:t xml:space="preserve">Use another structure when a question has no separable criteria,</w:t>
      </w:r>
      <w:r>
        <w:t xml:space="preserve"> </w:t>
      </w:r>
      <w:r>
        <w:t xml:space="preserve">such as a single holistic judgment of a proof’s rigor.</w:t>
      </w:r>
    </w:p>
    <w:bookmarkStart w:id="63" w:name="exm-rubric-checklist"/>
    <w:p>
      <w:pPr>
        <w:pStyle w:val="FirstParagraph"/>
      </w:pPr>
      <w:r>
        <w:rPr>
          <w:b/>
          <w:bCs/>
        </w:rPr>
        <w:t xml:space="preserve">Example 6 (A rubric as a checklist)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Grading (6 points): two for</w:t>
      </w:r>
      <w:r>
        <w:t xml:space="preserve"> </w:t>
      </w:r>
      <m:oMath>
        <m:acc>
          <m:accPr>
            <m:chr m:val="⃗"/>
          </m:accPr>
          <m:e>
            <m:r>
              <m:t>r</m:t>
            </m:r>
          </m:e>
        </m:acc>
      </m:oMath>
      <w:r>
        <w:t xml:space="preserve">, one for</w:t>
      </w:r>
      <w:r>
        <w:t xml:space="preserve"> </w:t>
      </w:r>
      <w:r>
        <w:t xml:space="preserve">$\dprod{\vx}{\vec r} = 0$</w:t>
      </w:r>
      <w:r>
        <w:t xml:space="preserve">,</w:t>
      </w:r>
      <w:r>
        <w:t xml:space="preserve"> </w:t>
      </w:r>
      <w:r>
        <w:t xml:space="preserve">three for</w:t>
      </w:r>
      <w:r>
        <w:t xml:space="preserve"> </w:t>
      </w:r>
      <w:r>
        <w:t xml:space="preserve">“orthogonal”</w:t>
      </w:r>
      <w:r>
        <w:t xml:space="preserve"> </w:t>
      </w:r>
      <w:r>
        <w:t xml:space="preserve">with its link to the normal equation.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Grading (6 points):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2 points: gives $\vresid = \tp{</w:t>
      </w:r>
      <w:r>
        <w:rPr>
          <w:rStyle w:val="CommentTok"/>
        </w:rPr>
        <w:t xml:space="preserve">[</w:t>
      </w:r>
      <w:r>
        <w:rPr>
          <w:rStyle w:val="OtherTok"/>
        </w:rPr>
        <w:t xml:space="preserve">-1, -1, 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}$.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1 point: computes $\dprod{\vx}{\vresid} = 0$.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3 points: says $\vresid$ is orthogonal to $\vx$</w:t>
      </w:r>
      <w:r>
        <w:br/>
      </w:r>
      <w:r>
        <w:rPr>
          <w:rStyle w:val="NormalTok"/>
        </w:rPr>
        <w:t xml:space="preserve">  and links this orthogonality to the normal equation.</w:t>
      </w:r>
    </w:p>
    <w:p>
      <w:pPr>
        <w:pStyle w:val="FirstParagraph"/>
      </w:pPr>
      <w:r>
        <w:t xml:space="preserve">The checklist shows the grader each item to mark</w:t>
      </w:r>
      <w:r>
        <w:t xml:space="preserve"> </w:t>
      </w:r>
      <w:r>
        <w:t xml:space="preserve">and lets a script check that the points sum to the total.</w:t>
      </w:r>
    </w:p>
    <w:bookmarkEnd w:id="63"/>
    <w:bookmarkEnd w:id="64"/>
    <w:bookmarkStart w:id="68" w:name="Xcb579568ef754486ebde8b41ba4528bdf380eec"/>
    <w:p>
      <w:pPr>
        <w:pStyle w:val="Heading2"/>
      </w:pPr>
      <w:r>
        <w:t xml:space="preserve">24 Credit other courses without summarizing them</w:t>
      </w:r>
    </w:p>
    <w:p>
      <w:pPr>
        <w:pStyle w:val="Compact"/>
        <w:numPr>
          <w:ilvl w:val="0"/>
          <w:numId w:val="1022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65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22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66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2"/>
        </w:numPr>
      </w:pPr>
      <w:r>
        <w:t xml:space="preserve">Title a section by its topic, not by its author or course.</w:t>
      </w:r>
      <w:r>
        <w:t xml:space="preserve"> </w:t>
      </w:r>
      <w:hyperlink r:id="rId67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2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8"/>
    <w:bookmarkStart w:id="77" w:name="rules-that-apply-to-all-writing"/>
    <w:p>
      <w:pPr>
        <w:pStyle w:val="Heading2"/>
      </w:pPr>
      <w:r>
        <w:t xml:space="preserve">25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23"/>
        </w:numPr>
      </w:pPr>
      <w:hyperlink r:id="rId69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hyperlink r:id="rId70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23"/>
        </w:numPr>
      </w:pPr>
      <w:hyperlink r:id="rId71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hyperlink r:id="rId72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23"/>
        </w:numPr>
      </w:pPr>
      <w:hyperlink r:id="rId73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76" w:name="refs"/>
    <w:bookmarkStart w:id="75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74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75"/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73" Type="http://schemas.openxmlformats.org/officeDocument/2006/relationships/hyperlink" Target="avoid-cliches.qmd" TargetMode="External"/><Relationship Id="rId65" Type="http://schemas.openxmlformats.org/officeDocument/2006/relationships/hyperlink" Target="citations-evidence.qmd#adapting-another-courses-material" TargetMode="External"/><Relationship Id="rId67" Type="http://schemas.openxmlformats.org/officeDocument/2006/relationships/hyperlink" Target="citations-evidence.qmd#put-the-content-first" TargetMode="External"/><Relationship Id="rId66" Type="http://schemas.openxmlformats.org/officeDocument/2006/relationships/hyperlink" Target="citations-evidence.qmd#quote-the-original" TargetMode="External"/><Relationship Id="rId69" Type="http://schemas.openxmlformats.org/officeDocument/2006/relationships/hyperlink" Target="conciseness.qmd#lead-with-the-subject" TargetMode="External"/><Relationship Id="rId58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70" Type="http://schemas.openxmlformats.org/officeDocument/2006/relationships/hyperlink" Target="grammar.qmd#demonstrative-pronouns" TargetMode="External"/><Relationship Id="rId45" Type="http://schemas.openxmlformats.org/officeDocument/2006/relationships/hyperlink" Target="https://cran.r-project.org/package=broom" TargetMode="External"/><Relationship Id="rId40" Type="http://schemas.openxmlformats.org/officeDocument/2006/relationships/hyperlink" Target="https://cran.r-project.org/package=gtsummary" TargetMode="External"/><Relationship Id="rId74" Type="http://schemas.openxmlformats.org/officeDocument/2006/relationships/hyperlink" Target="https://doi.org/10.1073/pnas.1319030111" TargetMode="External"/><Relationship Id="rId48" Type="http://schemas.openxmlformats.org/officeDocument/2006/relationships/hyperlink" Target="https://dplyr.tidyverse.org/" TargetMode="External"/><Relationship Id="rId39" Type="http://schemas.openxmlformats.org/officeDocument/2006/relationships/hyperlink" Target="https://easystats.github.io/parameters/" TargetMode="External"/><Relationship Id="rId44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41" Type="http://schemas.openxmlformats.org/officeDocument/2006/relationships/hyperlink" Target="https://ggplot2.tidyverse.org/" TargetMode="External"/><Relationship Id="rId35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27" Type="http://schemas.openxmlformats.org/officeDocument/2006/relationships/hyperlink" Target="https://github.com/Morrison-Lab/gha" TargetMode="External"/><Relationship Id="rId28" Type="http://schemas.openxmlformats.org/officeDocument/2006/relationships/hyperlink" Target="https://github.com/Morrison-Lab/gha/issues/1193" TargetMode="External"/><Relationship Id="rId29" Type="http://schemas.openxmlformats.org/officeDocument/2006/relationships/hyperlink" Target="https://github.com/Morrison-Lab/gha/pull/1262" TargetMode="External"/><Relationship Id="rId46" Type="http://schemas.openxmlformats.org/officeDocument/2006/relationships/hyperlink" Target="https://github.com/d-morrison/rme" TargetMode="External"/><Relationship Id="rId36" Type="http://schemas.openxmlformats.org/officeDocument/2006/relationships/hyperlink" Target="https://github.com/intro-stat-learning/ISLP_labs" TargetMode="External"/><Relationship Id="rId52" Type="http://schemas.openxmlformats.org/officeDocument/2006/relationships/hyperlink" Target="https://github.com/quarto-ext/include-code-files" TargetMode="External"/><Relationship Id="rId43" Type="http://schemas.openxmlformats.org/officeDocument/2006/relationships/hyperlink" Target="https://strengejacke.github.io/ggeffects/" TargetMode="External"/><Relationship Id="rId42" Type="http://schemas.openxmlformats.org/officeDocument/2006/relationships/hyperlink" Target="https://strengejacke.github.io/sjPlot/" TargetMode="External"/><Relationship Id="rId50" Type="http://schemas.openxmlformats.org/officeDocument/2006/relationships/hyperlink" Target="https://tibble.tidyverse.org/" TargetMode="External"/><Relationship Id="rId49" Type="http://schemas.openxmlformats.org/officeDocument/2006/relationships/hyperlink" Target="https://tidyr.tidyverse.org/" TargetMode="External"/><Relationship Id="rId34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30" Type="http://schemas.openxmlformats.org/officeDocument/2006/relationships/hyperlink" Target="paper-organization.qmd#figures-and-tables" TargetMode="External"/><Relationship Id="rId72" Type="http://schemas.openxmlformats.org/officeDocument/2006/relationships/hyperlink" Target="word-choice.qmd#avoid-vague-and-metaphorical-language" TargetMode="External"/><Relationship Id="rId71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73" Type="http://schemas.openxmlformats.org/officeDocument/2006/relationships/hyperlink" Target="avoid-cliches.qmd" TargetMode="External"/><Relationship Id="rId65" Type="http://schemas.openxmlformats.org/officeDocument/2006/relationships/hyperlink" Target="citations-evidence.qmd#adapting-another-courses-material" TargetMode="External"/><Relationship Id="rId67" Type="http://schemas.openxmlformats.org/officeDocument/2006/relationships/hyperlink" Target="citations-evidence.qmd#put-the-content-first" TargetMode="External"/><Relationship Id="rId66" Type="http://schemas.openxmlformats.org/officeDocument/2006/relationships/hyperlink" Target="citations-evidence.qmd#quote-the-original" TargetMode="External"/><Relationship Id="rId69" Type="http://schemas.openxmlformats.org/officeDocument/2006/relationships/hyperlink" Target="conciseness.qmd#lead-with-the-subject" TargetMode="External"/><Relationship Id="rId58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70" Type="http://schemas.openxmlformats.org/officeDocument/2006/relationships/hyperlink" Target="grammar.qmd#demonstrative-pronouns" TargetMode="External"/><Relationship Id="rId45" Type="http://schemas.openxmlformats.org/officeDocument/2006/relationships/hyperlink" Target="https://cran.r-project.org/package=broom" TargetMode="External"/><Relationship Id="rId40" Type="http://schemas.openxmlformats.org/officeDocument/2006/relationships/hyperlink" Target="https://cran.r-project.org/package=gtsummary" TargetMode="External"/><Relationship Id="rId74" Type="http://schemas.openxmlformats.org/officeDocument/2006/relationships/hyperlink" Target="https://doi.org/10.1073/pnas.1319030111" TargetMode="External"/><Relationship Id="rId48" Type="http://schemas.openxmlformats.org/officeDocument/2006/relationships/hyperlink" Target="https://dplyr.tidyverse.org/" TargetMode="External"/><Relationship Id="rId39" Type="http://schemas.openxmlformats.org/officeDocument/2006/relationships/hyperlink" Target="https://easystats.github.io/parameters/" TargetMode="External"/><Relationship Id="rId44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41" Type="http://schemas.openxmlformats.org/officeDocument/2006/relationships/hyperlink" Target="https://ggplot2.tidyverse.org/" TargetMode="External"/><Relationship Id="rId35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27" Type="http://schemas.openxmlformats.org/officeDocument/2006/relationships/hyperlink" Target="https://github.com/Morrison-Lab/gha" TargetMode="External"/><Relationship Id="rId28" Type="http://schemas.openxmlformats.org/officeDocument/2006/relationships/hyperlink" Target="https://github.com/Morrison-Lab/gha/issues/1193" TargetMode="External"/><Relationship Id="rId29" Type="http://schemas.openxmlformats.org/officeDocument/2006/relationships/hyperlink" Target="https://github.com/Morrison-Lab/gha/pull/1262" TargetMode="External"/><Relationship Id="rId46" Type="http://schemas.openxmlformats.org/officeDocument/2006/relationships/hyperlink" Target="https://github.com/d-morrison/rme" TargetMode="External"/><Relationship Id="rId36" Type="http://schemas.openxmlformats.org/officeDocument/2006/relationships/hyperlink" Target="https://github.com/intro-stat-learning/ISLP_labs" TargetMode="External"/><Relationship Id="rId52" Type="http://schemas.openxmlformats.org/officeDocument/2006/relationships/hyperlink" Target="https://github.com/quarto-ext/include-code-files" TargetMode="External"/><Relationship Id="rId43" Type="http://schemas.openxmlformats.org/officeDocument/2006/relationships/hyperlink" Target="https://strengejacke.github.io/ggeffects/" TargetMode="External"/><Relationship Id="rId42" Type="http://schemas.openxmlformats.org/officeDocument/2006/relationships/hyperlink" Target="https://strengejacke.github.io/sjPlot/" TargetMode="External"/><Relationship Id="rId50" Type="http://schemas.openxmlformats.org/officeDocument/2006/relationships/hyperlink" Target="https://tibble.tidyverse.org/" TargetMode="External"/><Relationship Id="rId49" Type="http://schemas.openxmlformats.org/officeDocument/2006/relationships/hyperlink" Target="https://tidyr.tidyverse.org/" TargetMode="External"/><Relationship Id="rId34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30" Type="http://schemas.openxmlformats.org/officeDocument/2006/relationships/hyperlink" Target="paper-organization.qmd#figures-and-tables" TargetMode="External"/><Relationship Id="rId72" Type="http://schemas.openxmlformats.org/officeDocument/2006/relationships/hyperlink" Target="word-choice.qmd#avoid-vague-and-metaphorical-language" TargetMode="External"/><Relationship Id="rId71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2026-10-28T03:48:38Z</dcterms:created>
  <dcterms:modified xsi:type="dcterms:W3CDTF">2026-10-28T03:48:38Z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20:44:41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