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2026-10-16 02:42:37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5" w:name="write-in-the-active-voice"/>
    <w:p>
      <w:pPr>
        <w:pStyle w:val="Heading2"/>
      </w:pPr>
      <w:r>
        <w:t xml:space="preserve">2 Write in the active voice</w:t>
      </w:r>
    </w:p>
    <w:p>
      <w:pPr>
        <w:pStyle w:val="FirstParagraph"/>
      </w:pPr>
      <w:r>
        <w:t xml:space="preserve">Use the</w:t>
      </w:r>
      <w:r>
        <w:t xml:space="preserve"> </w:t>
      </w:r>
      <w:hyperlink r:id="rId14">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6"/>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6"/>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7"/>
        </w:numPr>
      </w:pPr>
      <w:r>
        <w:t xml:space="preserve">The actor is unknown or does not matter, as in</w:t>
      </w:r>
      <w:r>
        <w:t xml:space="preserve"> </w:t>
      </w:r>
      <w:r>
        <w:t xml:space="preserve">“The samples were contaminated.”</w:t>
      </w:r>
    </w:p>
    <w:p>
      <w:pPr>
        <w:pStyle w:val="Compact"/>
        <w:numPr>
          <w:ilvl w:val="0"/>
          <w:numId w:val="1007"/>
        </w:numPr>
      </w:pPr>
      <w:r>
        <w:t xml:space="preserve">The receiver of the action is the topic of the paragraph, and the sentence is easier to follow with it as the subject.</w:t>
      </w:r>
    </w:p>
    <w:p>
      <w:pPr>
        <w:pStyle w:val="Compact"/>
        <w:numPr>
          <w:ilvl w:val="0"/>
          <w:numId w:val="1007"/>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5"/>
    <w:bookmarkStart w:id="16" w:name="lead-with-the-subject"/>
    <w:p>
      <w:pPr>
        <w:pStyle w:val="Heading2"/>
      </w:pPr>
      <w:r>
        <w:t xml:space="preserve">3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6"/>
    <w:bookmarkStart w:id="18" w:name="limit-complex-sentence-structures"/>
    <w:p>
      <w:pPr>
        <w:pStyle w:val="Heading2"/>
      </w:pPr>
      <w:r>
        <w:t xml:space="preserve">4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7"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7"/>
    <w:bookmarkEnd w:id="18"/>
    <w:bookmarkStart w:id="20" w:name="X831e99641ea6e3d916f49fb78be48dc576ff061"/>
    <w:p>
      <w:pPr>
        <w:pStyle w:val="Heading2"/>
      </w:pPr>
      <w:r>
        <w:t xml:space="preserve">5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9"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9"/>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0"/>
    <w:bookmarkStart w:id="22" w:name="avoid-double-negatives"/>
    <w:p>
      <w:pPr>
        <w:pStyle w:val="Heading2"/>
      </w:pPr>
      <w:r>
        <w:t xml:space="preserve">6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8"/>
        </w:numPr>
      </w:pPr>
      <w:r>
        <w:t xml:space="preserve">“not uncommon”</w:t>
      </w:r>
    </w:p>
    <w:p>
      <w:pPr>
        <w:pStyle w:val="Compact"/>
        <w:numPr>
          <w:ilvl w:val="0"/>
          <w:numId w:val="1008"/>
        </w:numPr>
      </w:pPr>
      <w:r>
        <w:t xml:space="preserve">“not unlikely”</w:t>
      </w:r>
    </w:p>
    <w:p>
      <w:pPr>
        <w:pStyle w:val="Compact"/>
        <w:numPr>
          <w:ilvl w:val="0"/>
          <w:numId w:val="1008"/>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1"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1"/>
    <w:bookmarkEnd w:id="22"/>
    <w:bookmarkStart w:id="25" w:name="Xa757197b9b942a803dc05820332a104a8aaeee4"/>
    <w:p>
      <w:pPr>
        <w:pStyle w:val="Heading2"/>
      </w:pPr>
      <w:r>
        <w:t xml:space="preserve">7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9"/>
        </w:numPr>
      </w:pPr>
      <w:r>
        <w:t xml:space="preserve">announce that a point is coming;</w:t>
      </w:r>
    </w:p>
    <w:p>
      <w:pPr>
        <w:pStyle w:val="Compact"/>
        <w:numPr>
          <w:ilvl w:val="0"/>
          <w:numId w:val="1009"/>
        </w:numPr>
      </w:pPr>
      <w:r>
        <w:t xml:space="preserve">rank a point;</w:t>
      </w:r>
    </w:p>
    <w:p>
      <w:pPr>
        <w:pStyle w:val="Compact"/>
        <w:numPr>
          <w:ilvl w:val="0"/>
          <w:numId w:val="1009"/>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3">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4"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4"/>
    <w:bookmarkEnd w:id="25"/>
    <w:bookmarkStart w:id="27" w:name="do-not-overexplain"/>
    <w:p>
      <w:pPr>
        <w:pStyle w:val="Heading2"/>
      </w:pPr>
      <w:r>
        <w:t xml:space="preserve">8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26" w:name="exm-overexplain"/>
    <w:p>
      <w:pPr>
        <w:pStyle w:val="BodyText"/>
      </w:pPr>
      <w:r>
        <w:rPr>
          <w:b/>
          <w:bCs/>
        </w:rPr>
        <w:t xml:space="preserve">Example 5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26"/>
    <w:bookmarkEnd w:id="27"/>
    <w:bookmarkStart w:id="34" w:name="put-lists-in-bullet-points"/>
    <w:p>
      <w:pPr>
        <w:pStyle w:val="Heading2"/>
      </w:pPr>
      <w:r>
        <w:t xml:space="preserve">9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0"/>
        </w:numPr>
      </w:pPr>
      <w:r>
        <w:t xml:space="preserve">Keep the items grammatically parallel,</w:t>
      </w:r>
      <w:r>
        <w:t xml:space="preserve"> </w:t>
      </w:r>
      <w:r>
        <w:t xml:space="preserve">so each one completes the introducing sentence the same way.</w:t>
      </w:r>
    </w:p>
    <w:p>
      <w:pPr>
        <w:pStyle w:val="Compact"/>
        <w:numPr>
          <w:ilvl w:val="0"/>
          <w:numId w:val="1010"/>
        </w:numPr>
      </w:pPr>
      <w:r>
        <w:t xml:space="preserve">Leave a blank line before the list;</w:t>
      </w:r>
      <w:r>
        <w:t xml:space="preserve"> </w:t>
      </w:r>
      <w:r>
        <w:t xml:space="preserve">without it, Markdown reads the list as part of the paragraph above.</w:t>
      </w:r>
    </w:p>
    <w:p>
      <w:pPr>
        <w:pStyle w:val="Compact"/>
        <w:numPr>
          <w:ilvl w:val="0"/>
          <w:numId w:val="1010"/>
        </w:numPr>
      </w:pPr>
      <w:r>
        <w:t xml:space="preserve">Keep a short series of single words inline,</w:t>
      </w:r>
      <w:r>
        <w:t xml:space="preserve"> </w:t>
      </w:r>
      <w:r>
        <w:t xml:space="preserve">such as</w:t>
      </w:r>
      <w:r>
        <w:t xml:space="preserve"> </w:t>
      </w:r>
      <w:r>
        <w:t xml:space="preserve">“R, Julia, or Python”</w:t>
      </w:r>
      <w:r>
        <w:t xml:space="preserve">.</w:t>
      </w:r>
    </w:p>
    <w:bookmarkStart w:id="28" w:name="exm-bullet-lists"/>
    <w:p>
      <w:pPr>
        <w:pStyle w:val="FirstParagraph"/>
      </w:pPr>
      <w:r>
        <w:rPr>
          <w:b/>
          <w:bCs/>
        </w:rPr>
        <w:t xml:space="preserve">Example 6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1"/>
        </w:numPr>
      </w:pPr>
      <w:r>
        <w:t xml:space="preserve">data to learn from;</w:t>
      </w:r>
    </w:p>
    <w:p>
      <w:pPr>
        <w:pStyle w:val="Compact"/>
        <w:numPr>
          <w:ilvl w:val="0"/>
          <w:numId w:val="1011"/>
        </w:numPr>
      </w:pPr>
      <w:r>
        <w:t xml:space="preserve">statistics to say what a finite sample of data supports;</w:t>
      </w:r>
    </w:p>
    <w:p>
      <w:pPr>
        <w:pStyle w:val="Compact"/>
        <w:numPr>
          <w:ilvl w:val="0"/>
          <w:numId w:val="1011"/>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8"/>
    <w:bookmarkStart w:id="32" w:name="exm-resource-lists"/>
    <w:p>
      <w:pPr>
        <w:pStyle w:val="BodyText"/>
      </w:pPr>
      <w:r>
        <w:rPr>
          <w:b/>
          <w:bCs/>
        </w:rPr>
        <w:t xml:space="preserve">Example 7 (Turning a run of resource sentences into bullet points)</w:t>
      </w:r>
      <w:r>
        <w:t xml:space="preserve"> </w:t>
      </w:r>
      <w:r>
        <w:t xml:space="preserve"> </w:t>
      </w:r>
    </w:p>
    <w:p>
      <w:pPr>
        <w:pStyle w:val="BlockText"/>
      </w:pPr>
      <w:r>
        <w:t xml:space="preserve">❌ Hastie and Tibshirani</w:t>
      </w:r>
      <w:r>
        <w:t xml:space="preserve"> </w:t>
      </w:r>
      <w:hyperlink r:id="rId29">
        <w:r>
          <w:rPr>
            <w:rStyle w:val="Hyperlink"/>
          </w:rPr>
          <w:t xml:space="preserve">extend least squares to several predictors</w:t>
        </w:r>
      </w:hyperlink>
      <w:r>
        <w:t xml:space="preserve">. Starmer explains</w:t>
      </w:r>
      <w:r>
        <w:t xml:space="preserve"> </w:t>
      </w:r>
      <w:hyperlink r:id="rId30">
        <w:r>
          <w:rPr>
            <w:rStyle w:val="Hyperlink"/>
          </w:rPr>
          <w:t xml:space="preserve">multiple regression</w:t>
        </w:r>
      </w:hyperlink>
      <w:r>
        <w:t xml:space="preserve">.</w:t>
      </w:r>
    </w:p>
    <w:p>
      <w:pPr>
        <w:pStyle w:val="BlockText"/>
      </w:pPr>
      <w:r>
        <w:t xml:space="preserve">✅ Videos:</w:t>
      </w:r>
    </w:p>
    <w:p>
      <w:pPr>
        <w:pStyle w:val="Compact"/>
        <w:numPr>
          <w:ilvl w:val="0"/>
          <w:numId w:val="1012"/>
        </w:numPr>
      </w:pPr>
      <w:r>
        <w:t xml:space="preserve">Hastie and Tibshirani</w:t>
      </w:r>
      <w:r>
        <w:t xml:space="preserve"> </w:t>
      </w:r>
      <w:hyperlink r:id="rId29">
        <w:r>
          <w:rPr>
            <w:rStyle w:val="Hyperlink"/>
          </w:rPr>
          <w:t xml:space="preserve">extend least squares to several predictors</w:t>
        </w:r>
      </w:hyperlink>
      <w:r>
        <w:t xml:space="preserve">.</w:t>
      </w:r>
    </w:p>
    <w:p>
      <w:pPr>
        <w:pStyle w:val="Compact"/>
        <w:numPr>
          <w:ilvl w:val="0"/>
          <w:numId w:val="1012"/>
        </w:numPr>
      </w:pPr>
      <w:r>
        <w:t xml:space="preserve">Starmer explains</w:t>
      </w:r>
      <w:r>
        <w:t xml:space="preserve"> </w:t>
      </w:r>
      <w:hyperlink r:id="rId30">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31">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32"/>
    <w:bookmarkStart w:id="33" w:name="exm-numbered-lists"/>
    <w:p>
      <w:pPr>
        <w:pStyle w:val="BodyText"/>
      </w:pPr>
      <w:r>
        <w:rPr>
          <w:b/>
          <w:bCs/>
        </w:rPr>
        <w:t xml:space="preserve">Example 8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3"/>
        </w:numPr>
      </w:pPr>
      <w:r>
        <w:t xml:space="preserve">assign each point to its nearest center;</w:t>
      </w:r>
    </w:p>
    <w:p>
      <w:pPr>
        <w:pStyle w:val="Compact"/>
        <w:numPr>
          <w:ilvl w:val="0"/>
          <w:numId w:val="1013"/>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3"/>
    <w:bookmarkEnd w:id="34"/>
    <w:bookmarkStart w:id="40" w:name="examples-of-concise-writing"/>
    <w:p>
      <w:pPr>
        <w:pStyle w:val="Heading2"/>
      </w:pPr>
      <w:r>
        <w:t xml:space="preserve">10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9" w:name="refs"/>
    <w:bookmarkStart w:id="3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5">
        <w:r>
          <w:rPr>
            <w:rStyle w:val="Hyperlink"/>
          </w:rPr>
          <w:t xml:space="preserve">https://en.wikipedia.org/wiki/Ernest_Hemingway#Writing_style</w:t>
        </w:r>
      </w:hyperlink>
      <w:r>
        <w:t xml:space="preserve">.</w:t>
      </w:r>
    </w:p>
    <w:bookmarkEnd w:id="36"/>
    <w:bookmarkStart w:id="3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7">
        <w:r>
          <w:rPr>
            <w:rStyle w:val="Hyperlink"/>
          </w:rPr>
          <w:t xml:space="preserve">https://en.wikipedia.org/wiki/Julius_Caesar#Literary_works</w:t>
        </w:r>
      </w:hyperlink>
      <w:r>
        <w:t xml:space="preserve">.</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3" Target="avoid-cliches.qmd#rhetorical-reflexes" TargetMode="External" /><Relationship Type="http://schemas.openxmlformats.org/officeDocument/2006/relationships/hyperlink" Id="rId14" Target="defining-terms.qmd#def-active-voice" TargetMode="External" /><Relationship Type="http://schemas.openxmlformats.org/officeDocument/2006/relationships/hyperlink" Id="rId35" Target="https://en.wikipedia.org/wiki/Ernest_Hemingway#Writing_style" TargetMode="External" /><Relationship Type="http://schemas.openxmlformats.org/officeDocument/2006/relationships/hyperlink" Id="rId37" Target="https://en.wikipedia.org/wiki/Julius_Caesar#Literary_works" TargetMode="External" /><Relationship Type="http://schemas.openxmlformats.org/officeDocument/2006/relationships/hyperlink" Id="rId31" Target="https://morrison-lab.github.io/lds/chapters/linear-regression.html" TargetMode="External" /><Relationship Type="http://schemas.openxmlformats.org/officeDocument/2006/relationships/hyperlink" Id="rId29" Target="https://www.youtube.com/watch?v=o9hoLdylWKo" TargetMode="External" /><Relationship Type="http://schemas.openxmlformats.org/officeDocument/2006/relationships/hyperlink" Id="rId30" Target="https://www.youtube.com/watch?v=zITIFTsivN8"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3" Target="avoid-cliches.qmd#rhetorical-reflexes" TargetMode="External" /><Relationship Type="http://schemas.openxmlformats.org/officeDocument/2006/relationships/hyperlink" Id="rId14" Target="defining-terms.qmd#def-active-voice" TargetMode="External" /><Relationship Type="http://schemas.openxmlformats.org/officeDocument/2006/relationships/hyperlink" Id="rId35" Target="https://en.wikipedia.org/wiki/Ernest_Hemingway#Writing_style" TargetMode="External" /><Relationship Type="http://schemas.openxmlformats.org/officeDocument/2006/relationships/hyperlink" Id="rId37" Target="https://en.wikipedia.org/wiki/Julius_Caesar#Literary_works" TargetMode="External" /><Relationship Type="http://schemas.openxmlformats.org/officeDocument/2006/relationships/hyperlink" Id="rId31" Target="https://morrison-lab.github.io/lds/chapters/linear-regression.html" TargetMode="External" /><Relationship Type="http://schemas.openxmlformats.org/officeDocument/2006/relationships/hyperlink" Id="rId29" Target="https://www.youtube.com/watch?v=o9hoLdylWKo" TargetMode="External" /><Relationship Type="http://schemas.openxmlformats.org/officeDocument/2006/relationships/hyperlink" Id="rId30" Target="https://www.youtube.com/watch?v=zITIFTsivN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2026-10-16T09:45:31Z</dcterms:created>
  <dcterms:modified xsi:type="dcterms:W3CDTF">2026-10-16T09:45:31Z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02:42:37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