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2026-10-05 17:44:06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5" w:name="avoiding-double-inequalities"/>
    <w:p>
      <w:pPr>
        <w:pStyle w:val="Heading2"/>
      </w:pPr>
      <w:r>
        <w:t xml:space="preserve">1 Avoiding double inequalities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  <w:r>
        <w:t xml:space="preserve"> </w:t>
      </w: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2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2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4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3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3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4"/>
    <w:bookmarkEnd w:id="15"/>
    <w:bookmarkStart w:id="20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6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7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7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8" w:name="using-a-fact-the-reader-has-not-seen"/>
    <w:p>
      <w:pPr>
        <w:pStyle w:val="Heading3"/>
      </w:pPr>
      <w:r>
        <w:t xml:space="preserve">2.1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18"/>
    <w:bookmarkStart w:id="19" w:name="long-derivations"/>
    <w:p>
      <w:pPr>
        <w:pStyle w:val="Heading3"/>
      </w:pPr>
      <w:r>
        <w:t xml:space="preserve">2.2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For example, when you apply the chain rule,</w:t>
      </w:r>
      <w:r>
        <w:t xml:space="preserve"> </w:t>
      </w:r>
      <w:r>
        <w:t xml:space="preserve">derive the inner derivative in a separate block</w:t>
      </w:r>
      <w:r>
        <w:t xml:space="preserve"> </w:t>
      </w:r>
      <w:r>
        <w:t xml:space="preserve">before you substitute it.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End w:id="19"/>
    <w:bookmarkEnd w:id="20"/>
    <w:bookmarkStart w:id="22" w:name="functions-and-their-values"/>
    <w:p>
      <w:pPr>
        <w:pStyle w:val="Heading2"/>
      </w:pPr>
      <w:r>
        <w:t xml:space="preserve">3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21" w:name="exm-function-evaluated-at"/>
    <w:p>
      <w:pPr>
        <w:pStyle w:val="BodyText"/>
      </w:pPr>
      <w:r>
        <w:rPr>
          <w:b/>
          <w:bCs/>
        </w:rPr>
        <w:t xml:space="preserve">Example 4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2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3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End w:id="22"/>
    <w:bookmarkStart w:id="25" w:name="writing-out-notational-shorthands"/>
    <w:p>
      <w:pPr>
        <w:pStyle w:val="Heading2"/>
      </w:pPr>
      <w:r>
        <w:t xml:space="preserve">4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24" w:name="exm-notational-shorthand"/>
    <w:p>
      <w:pPr>
        <w:pStyle w:val="BodyText"/>
      </w:pPr>
      <w:r>
        <w:rPr>
          <w:b/>
          <w:bCs/>
        </w:rPr>
        <w:t xml:space="preserve">Example 5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citations-evidence.qmd#trivial-and-trivially" TargetMode="External" /><Relationship Type="http://schemas.openxmlformats.org/officeDocument/2006/relationships/hyperlink" Id="rId23" Target="https://morrison-lab.github.io/mds/notation.html#sec-notational-shorthand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2026-10-05T17:47:10Z</dcterms:created>
  <dcterms:modified xsi:type="dcterms:W3CDTF">2026-10-05T17:47:10Z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17:44:06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