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2026-10-28 17:10:27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Make each exercise ask for one thing (Ezra, 2026-10-27).</w:t>
      </w:r>
      <w:r>
        <w:t xml:space="preserve"> </w:t>
      </w:r>
      <w:r>
        <w:t xml:space="preserve">A prompt that says</w:t>
      </w:r>
      <w:r>
        <w:t xml:space="preserve"> </w:t>
      </w:r>
      <w:r>
        <w:t xml:space="preserve">“compute the slope, and compare it with the fitted value”</w:t>
      </w:r>
      <w:r>
        <w:t xml:space="preserve"> </w:t>
      </w:r>
      <w:r>
        <w:t xml:space="preserve"> </w:t>
      </w:r>
      <w:r>
        <w:t xml:space="preserve">asks for two things, so split it into two exercises,</w:t>
      </w:r>
      <w:r>
        <w:t xml:space="preserve"> </w:t>
      </w:r>
      <w:r>
        <w:t xml:space="preserve">each with its own solution.</w:t>
      </w:r>
      <w:r>
        <w:t xml:space="preserve"> </w:t>
      </w:r>
      <w:r>
        <w:t xml:space="preserve">Split a list item or step inside an exercise the same way,</w:t>
      </w:r>
      <w:r>
        <w:t xml:space="preserve"> </w:t>
      </w:r>
      <w:r>
        <w:t xml:space="preserve">into separate exercises.</w:t>
      </w:r>
      <w:r>
        <w:t xml:space="preserve"> </w:t>
      </w:r>
      <w:r>
        <w:t xml:space="preserve">Phrases such as</w:t>
      </w:r>
      <w:r>
        <w:t xml:space="preserve"> </w:t>
      </w:r>
      <w:r>
        <w:t xml:space="preserve">“and then”</w:t>
      </w:r>
      <w:r>
        <w:t xml:space="preserve">,</w:t>
      </w:r>
      <w:r>
        <w:t xml:space="preserve"> </w:t>
      </w:r>
      <w:r>
        <w:t xml:space="preserve">“and also”</w:t>
      </w:r>
      <w:r>
        <w:t xml:space="preserve">, and</w:t>
      </w:r>
      <w:r>
        <w:t xml:space="preserve"> </w:t>
      </w:r>
      <w:r>
        <w:t xml:space="preserve">“and compare”</w:t>
      </w:r>
      <w:r>
        <w:t xml:space="preserve"> </w:t>
      </w:r>
      <w:r>
        <w:t xml:space="preserve">mark a second ask.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  <w:r>
        <w:t xml:space="preserve"> 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8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</w:t>
      </w:r>
      <w:r>
        <w:t xml:space="preserve"> </w:t>
      </w:r>
      <w:hyperlink r:id="rId16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7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7"/>
    <w:bookmarkEnd w:id="18"/>
    <w:bookmarkStart w:id="20" w:name="say-what-a-yes-or-no-answer-means"/>
    <w:p>
      <w:pPr>
        <w:pStyle w:val="Heading2"/>
      </w:pPr>
      <w:r>
        <w:t xml:space="preserve">3 Say what a yes-or-no answer means</w:t>
      </w:r>
    </w:p>
    <w:p>
      <w:pPr>
        <w:pStyle w:val="FirstParagraph"/>
      </w:pPr>
      <w:r>
        <w:t xml:space="preserve">Follow a</w:t>
      </w:r>
      <w:r>
        <w:t xml:space="preserve"> </w:t>
      </w:r>
      <w:r>
        <w:t xml:space="preserve">“Yes”</w:t>
      </w:r>
      <w:r>
        <w:t xml:space="preserve"> </w:t>
      </w:r>
      <w:r>
        <w:t xml:space="preserve">or</w:t>
      </w:r>
      <w:r>
        <w:t xml:space="preserve"> </w:t>
      </w:r>
      <w:r>
        <w:t xml:space="preserve">“No”</w:t>
      </w:r>
      <w:r>
        <w:t xml:space="preserve"> </w:t>
      </w:r>
      <w:r>
        <w:t xml:space="preserve">with what the answer means in the words of the question,</w:t>
      </w:r>
      <w:r>
        <w:t xml:space="preserve"> </w:t>
      </w:r>
      <w:r>
        <w:t xml:space="preserve">as in</w:t>
      </w:r>
      <w:r>
        <w:t xml:space="preserve"> </w:t>
      </w:r>
      <w:r>
        <w:t xml:space="preserve">“No: it’s not possible that the advanced network has a test error of 0.25,”</w:t>
      </w:r>
      <w:r>
        <w:t xml:space="preserve"> </w:t>
      </w:r>
      <w:r>
        <w:t xml:space="preserve">not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reader who sees only the first line then still knows what the answer claims,</w:t>
      </w:r>
      <w:r>
        <w:t xml:space="preserve"> </w:t>
      </w:r>
      <w:r>
        <w:t xml:space="preserve">and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leaves open what is being denied.</w:t>
      </w:r>
      <w:r>
        <w:t xml:space="preserve"> </w:t>
      </w:r>
      <w:r>
        <w:t xml:space="preserve">The rule covers solutions, worked examples and any other answer to a question.</w:t>
      </w:r>
    </w:p>
    <w:bookmarkStart w:id="19" w:name="exm-yes-no-conclusion"/>
    <w:p>
      <w:pPr>
        <w:pStyle w:val="BodyText"/>
      </w:pPr>
      <w:r>
        <w:rPr>
          <w:b/>
          <w:bCs/>
        </w:rPr>
        <w:t xml:space="preserve">Example 3 (Saying what a</w:t>
      </w:r>
      <w:r>
        <w:rPr>
          <w:b/>
          <w:bCs/>
        </w:rPr>
        <w:t xml:space="preserve"> </w:t>
      </w:r>
      <w:r>
        <w:rPr>
          <w:b/>
          <w:bCs/>
        </w:rPr>
        <w:t xml:space="preserve">“No”</w:t>
      </w:r>
      <w:r>
        <w:rPr>
          <w:b/>
          <w:bCs/>
        </w:rPr>
        <w:t xml:space="preserve"> </w:t>
      </w:r>
      <w:r>
        <w:rPr>
          <w:b/>
          <w:bCs/>
        </w:rPr>
        <w:t xml:space="preserve">means)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No. The irreducible error is a lower bound on the expected squared prediction error.</w:t>
      </w:r>
    </w:p>
    <w:p>
      <w:pPr>
        <w:pStyle w:val="BlockText"/>
      </w:pPr>
      <w:r>
        <w:t xml:space="preserve">✅ No: it’s not possible that the advanced network has a test error of 0.25.</w:t>
      </w:r>
      <w:r>
        <w:t xml:space="preserve"> </w:t>
      </w:r>
      <w:r>
        <w:t xml:space="preserve">The irreducible error is a lower bound on the expected squared prediction error.</w:t>
      </w:r>
    </w:p>
    <w:p>
      <w:pPr>
        <w:pStyle w:val="FirstParagraph"/>
      </w:pPr>
      <w:r>
        <w:t xml:space="preserve">The ✅ version states the conclusion in the question’s own words,</w:t>
      </w:r>
      <w:r>
        <w:t xml:space="preserve"> </w:t>
      </w:r>
      <w:r>
        <w:t xml:space="preserve">so the reasons that follow support a claim the reader has already seen.</w:t>
      </w:r>
    </w:p>
    <w:bookmarkEnd w:id="19"/>
    <w:bookmarkEnd w:id="20"/>
    <w:bookmarkStart w:id="21" w:name="Xcb2ea076bd2bdcde187ea355befd37150b69b89"/>
    <w:p>
      <w:pPr>
        <w:pStyle w:val="Heading2"/>
      </w:pPr>
      <w:r>
        <w:t xml:space="preserve">4 Give each question’s answer its own paragraph</w:t>
      </w:r>
    </w:p>
    <w:p>
      <w:pPr>
        <w:pStyle w:val="FirstParagraph"/>
      </w:pPr>
      <w:r>
        <w:t xml:space="preserve">When a prompt asks several questions, answer each one in its own paragraph, or in several paragraphs if it needs them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solution to</w:t>
      </w:r>
      <w:r>
        <w:t xml:space="preserve"> </w:t>
      </w:r>
      <w:r>
        <w:t xml:space="preserve">“Which model underfits, which overfits most, and which would you choose?”</w:t>
      </w:r>
      <w:r>
        <w:t xml:space="preserve"> </w:t>
      </w:r>
      <w:r>
        <w:t xml:space="preserve">has one paragraph for the underfitting model, one for the overfitting model and one for the choice.</w:t>
      </w:r>
      <w:r>
        <w:t xml:space="preserve"> </w:t>
      </w:r>
      <w:r>
        <w:t xml:space="preserve">A reader looking for one answer then finds it without reading the others.</w:t>
      </w:r>
      <w:r>
        <w:t xml:space="preserve"> </w:t>
      </w:r>
      <w:r>
        <w:t xml:space="preserve">No automated check enforces this rule, because a script cannot tell how many questions a prompt asks.</w:t>
      </w:r>
    </w:p>
    <w:bookmarkEnd w:id="21"/>
    <w:bookmarkStart w:id="24" w:name="give-each-defined-term-its-own-div"/>
    <w:p>
      <w:pPr>
        <w:pStyle w:val="Heading2"/>
      </w:pPr>
      <w:r>
        <w:t xml:space="preserve">5 Give each defined term its own div</w:t>
      </w:r>
    </w:p>
    <w:p>
      <w:pPr>
        <w:pStyle w:val="FirstParagraph"/>
      </w:pPr>
      <w:hyperlink r:id="rId22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</w:t>
      </w:r>
      <w:r>
        <w:t xml:space="preserve"> </w:t>
      </w:r>
      <w:hyperlink r:id="rId2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24"/>
    <w:bookmarkStart w:id="25" w:name="state-the-notation-and-its-alternatives"/>
    <w:p>
      <w:pPr>
        <w:pStyle w:val="Heading2"/>
      </w:pPr>
      <w:r>
        <w:t xml:space="preserve">6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5"/>
    <w:bookmarkStart w:id="27" w:name="Xac7e4ead54b12ccf6544491699a177b7d16fa22"/>
    <w:p>
      <w:pPr>
        <w:pStyle w:val="Heading2"/>
      </w:pPr>
      <w:r>
        <w:t xml:space="preserve">7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</w:t>
      </w:r>
      <w:r>
        <w:t xml:space="preserve"> </w:t>
      </w:r>
      <w:hyperlink r:id="rId2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7"/>
    <w:bookmarkStart w:id="28" w:name="reuse-one-written-version-of-each-result"/>
    <w:p>
      <w:pPr>
        <w:pStyle w:val="Heading2"/>
      </w:pPr>
      <w:r>
        <w:t xml:space="preserve">8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8"/>
    <w:bookmarkStart w:id="30" w:name="use-real-data-and-compute-every-number"/>
    <w:p>
      <w:pPr>
        <w:pStyle w:val="Heading2"/>
      </w:pPr>
      <w:r>
        <w:t xml:space="preserve">9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9" w:name="exm-show-data-first"/>
    <w:p>
      <w:pPr>
        <w:pStyle w:val="FirstParagraph"/>
      </w:pPr>
      <w:r>
        <w:rPr>
          <w:b/>
          <w:bCs/>
        </w:rPr>
        <w:t xml:space="preserve">Example 4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9"/>
    <w:bookmarkEnd w:id="30"/>
    <w:bookmarkStart w:id="31" w:name="Xa214254a94aa6db868b5b9577007bf4e27699b1"/>
    <w:p>
      <w:pPr>
        <w:pStyle w:val="Heading2"/>
      </w:pPr>
      <w:r>
        <w:t xml:space="preserve">10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</w:t>
      </w:r>
      <w:r>
        <w:t xml:space="preserve"> </w:t>
      </w:r>
      <w:hyperlink r:id="rId16">
        <w:r>
          <w:rPr>
            <w:rStyle w:val="Hyperlink"/>
          </w:rPr>
          <w:t xml:space="preserve">term</w:t>
        </w:r>
      </w:hyperlink>
      <w:r>
        <w:t xml:space="preserve">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31"/>
    <w:bookmarkStart w:id="37" w:name="show-each-idea-applied-and-in-a-figure"/>
    <w:p>
      <w:pPr>
        <w:pStyle w:val="Heading2"/>
      </w:pPr>
      <w:r>
        <w:t xml:space="preserve">11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32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33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33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36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7"/>
    <w:bookmarkStart w:id="39" w:name="X7f95f8ec3b796fc99108c37bb45d62741b824c4"/>
    <w:p>
      <w:pPr>
        <w:pStyle w:val="Heading2"/>
      </w:pPr>
      <w:r>
        <w:t xml:space="preserve">12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22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8" w:name="exm-practice-after-example"/>
    <w:p>
      <w:pPr>
        <w:pStyle w:val="FirstParagraph"/>
      </w:pPr>
      <w:r>
        <w:rPr>
          <w:b/>
          <w:bCs/>
        </w:rPr>
        <w:t xml:space="preserve">Example 5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8"/>
    <w:bookmarkEnd w:id="39"/>
    <w:bookmarkStart w:id="43" w:name="Xf27331f4c36c8d578e5fa29a37312484cc3343a"/>
    <w:p>
      <w:pPr>
        <w:pStyle w:val="Heading2"/>
      </w:pPr>
      <w:r>
        <w:t xml:space="preserve">13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40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41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42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43"/>
    <w:bookmarkStart w:id="44" w:name="Xf53ecb3398b87b82ffd1a126dd02e87a65bb694"/>
    <w:p>
      <w:pPr>
        <w:pStyle w:val="Heading2"/>
      </w:pPr>
      <w:r>
        <w:t xml:space="preserve">14 Keep each step’s code in one chunk, and put parallel chunks in a language tabset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9"/>
        </w:numPr>
      </w:pPr>
      <w:r>
        <w:t xml:space="preserve">Put parallel versions of one computation in one language tabset, never one chunk after another.</w:t>
      </w:r>
      <w:r>
        <w:t xml:space="preserve"> </w:t>
      </w:r>
      <w:r>
        <w:t xml:space="preserve">A reader should see one language at a time.</w:t>
      </w:r>
    </w:p>
    <w:p>
      <w:pPr>
        <w:pStyle w:val="Compact"/>
        <w:numPr>
          <w:ilvl w:val="0"/>
          <w:numId w:val="1009"/>
        </w:numPr>
      </w:pPr>
      <w:r>
        <w:t xml:space="preserve">Write one chunk for each step of the computation.</w:t>
      </w:r>
      <w:r>
        <w:t xml:space="preserve"> </w:t>
      </w:r>
      <w:r>
        <w:t xml:space="preserve">A figure’s code is one chunk, even when it takes ten lines.</w:t>
      </w:r>
    </w:p>
    <w:p>
      <w:pPr>
        <w:pStyle w:val="Compact"/>
        <w:numPr>
          <w:ilvl w:val="0"/>
          <w:numId w:val="1009"/>
        </w:numPr>
      </w:pPr>
      <w:r>
        <w:t xml:space="preserve">Split a chunk only for a reason that the reader can see: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Own label or options</w:t>
      </w:r>
      <w:r>
        <w:t xml:space="preserve">: the second part needs its own label, caption or chunk options.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Separate output</w:t>
      </w:r>
      <w:r>
        <w:t xml:space="preserve">: the second part shows output that the first part should not.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Dependent prose</w:t>
      </w:r>
      <w:r>
        <w:t xml:space="preserve">: prose between the parts needs the first part’s output.</w:t>
      </w:r>
    </w:p>
    <w:p>
      <w:pPr>
        <w:pStyle w:val="Compact"/>
        <w:numPr>
          <w:ilvl w:val="0"/>
          <w:numId w:val="1009"/>
        </w:numPr>
      </w:pPr>
      <w:r>
        <w:t xml:space="preserve">Do not split a chunk to name its parts, or to keep it short.</w:t>
      </w:r>
      <w:r>
        <w:t xml:space="preserve"> </w:t>
      </w:r>
      <w:r>
        <w:t xml:space="preserve">Comments name the parts</w:t>
      </w:r>
      <w:r>
        <w:t xml:space="preserve"> </w:t>
      </w:r>
      <w:r>
        <w:t xml:space="preserve">(see</w:t>
      </w:r>
      <w:r>
        <w:t xml:space="preserve"> </w:t>
      </w:r>
      <w:hyperlink w:anchor="X7c0de8eaf50a5b2644eabf66f1f9b734b8a4a71">
        <w:r>
          <w:rPr>
            <w:rStyle w:val="Hyperlink"/>
          </w:rPr>
          <w:t xml:space="preserve">Comment every code chunk to say what and why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Give a chunk that only stores values for later code or inline code</w:t>
      </w:r>
      <w:r>
        <w:t xml:space="preserve"> </w:t>
      </w:r>
      <w:r>
        <w:rPr>
          <w:rStyle w:val="VerbatimChar"/>
        </w:rPr>
        <w:t xml:space="preserve">#| include: false</w:t>
      </w:r>
      <w:r>
        <w:t xml:space="preserve">.</w:t>
      </w:r>
      <w:r>
        <w:t xml:space="preserve"> </w:t>
      </w:r>
      <w:r>
        <w:t xml:space="preserve">When the chunk that computes those values is already hidden, merge the storing code into that chunk.</w:t>
      </w:r>
    </w:p>
    <w:p>
      <w:pPr>
        <w:pStyle w:val="Compact"/>
        <w:numPr>
          <w:ilvl w:val="0"/>
          <w:numId w:val="1009"/>
        </w:numPr>
      </w:pPr>
      <w:r>
        <w:t xml:space="preserve">Check for output that splits a chunk without a reason.</w:t>
      </w:r>
      <w:r>
        <w:t xml:space="preserve"> </w:t>
      </w:r>
      <w:r>
        <w:t xml:space="preserve">In Python, reticulate prints the value of each top-level call that returns something other than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shows the chunk as one code block per printed value,</w:t>
      </w:r>
      <w:r>
        <w:t xml:space="preserve"> </w:t>
      </w:r>
      <w:r>
        <w:t xml:space="preserve">such as a</w:t>
      </w:r>
      <w:r>
        <w:t xml:space="preserve"> </w:t>
      </w:r>
      <w:r>
        <w:rPr>
          <w:rStyle w:val="VerbatimChar"/>
        </w:rPr>
        <w:t xml:space="preserve">&lt;matplotlib.lines.Line2D object at 0x...&gt;</w:t>
      </w:r>
      <w:r>
        <w:t xml:space="preserve"> </w:t>
      </w:r>
      <w:r>
        <w:t xml:space="preserve">line after every</w:t>
      </w:r>
      <w:r>
        <w:t xml:space="preserve"> </w:t>
      </w:r>
      <w:r>
        <w:rPr>
          <w:rStyle w:val="VerbatimChar"/>
        </w:rPr>
        <w:t xml:space="preserve">ax.plot(...)</w:t>
      </w:r>
      <w:r>
        <w:t xml:space="preserve">.</w:t>
      </w:r>
      <w:r>
        <w:t xml:space="preserve"> </w:t>
      </w:r>
      <w:r>
        <w:t xml:space="preserve">End each such call with a semicolon, or assign its value.</w:t>
      </w:r>
    </w:p>
    <w:bookmarkEnd w:id="44"/>
    <w:bookmarkStart w:id="53" w:name="present-r-results-with-modern-packages"/>
    <w:p>
      <w:pPr>
        <w:pStyle w:val="Heading2"/>
      </w:pPr>
      <w:r>
        <w:t xml:space="preserve">15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11"/>
        </w:numPr>
      </w:pPr>
      <w:r>
        <w:t xml:space="preserve">Show coefficient tables with</w:t>
      </w:r>
      <w:r>
        <w:t xml:space="preserve"> </w:t>
      </w:r>
      <w:hyperlink r:id="rId4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4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11"/>
        </w:numPr>
      </w:pPr>
      <w:r>
        <w:t xml:space="preserve">Draw figures with</w:t>
      </w:r>
      <w:r>
        <w:t xml:space="preserve"> </w:t>
      </w:r>
      <w:hyperlink r:id="rId4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Draw model plots with packages built on ggplot2:</w:t>
      </w:r>
      <w:r>
        <w:t xml:space="preserve"> </w:t>
      </w:r>
      <w:hyperlink r:id="rId4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5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11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5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Ezra’s</w:t>
      </w:r>
      <w:r>
        <w:t xml:space="preserve"> </w:t>
      </w:r>
      <w:hyperlink r:id="rId5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53"/>
    <w:bookmarkStart w:id="57" w:name="manipulate-data-with-dplyr-not-base-r"/>
    <w:p>
      <w:pPr>
        <w:pStyle w:val="Heading2"/>
      </w:pPr>
      <w:r>
        <w:t xml:space="preserve">16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Select columns with</w:t>
      </w:r>
      <w:r>
        <w:t xml:space="preserve"> </w:t>
      </w:r>
      <w:hyperlink r:id="rId5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Drop rows with missing values with</w:t>
      </w:r>
      <w:r>
        <w:t xml:space="preserve"> </w:t>
      </w:r>
      <w:hyperlink r:id="rId5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Build data frames with</w:t>
      </w:r>
      <w:r>
        <w:t xml:space="preserve"> </w:t>
      </w:r>
      <w:hyperlink r:id="rId5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Do not nest function calls.</w:t>
      </w:r>
      <w:r>
        <w:t xml:space="preserve"> 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2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57"/>
    <w:bookmarkStart w:id="59" w:name="X2bc6121e3a2f39a37d8a6591d77df16bd22bd0b"/>
    <w:p>
      <w:pPr>
        <w:pStyle w:val="Heading2"/>
      </w:pPr>
      <w:r>
        <w:t xml:space="preserve">17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3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3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9"/>
    <w:bookmarkStart w:id="60" w:name="X7c0de8eaf50a5b2644eabf66f1f9b734b8a4a71"/>
    <w:p>
      <w:pPr>
        <w:pStyle w:val="Heading2"/>
      </w:pPr>
      <w:r>
        <w:t xml:space="preserve">18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4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4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4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60"/>
    <w:bookmarkStart w:id="61" w:name="X94063c6448bea82c8f1e8d367c642bbe2eda89b"/>
    <w:p>
      <w:pPr>
        <w:pStyle w:val="Heading2"/>
      </w:pPr>
      <w:r>
        <w:t xml:space="preserve">19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61"/>
    <w:bookmarkStart w:id="62" w:name="Xffa5a3357c8672d830c88e1e58a0ef107550647"/>
    <w:p>
      <w:pPr>
        <w:pStyle w:val="Heading2"/>
      </w:pPr>
      <w:r>
        <w:t xml:space="preserve">20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6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6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  <w:r>
        <w:t xml:space="preserve"> </w:t>
      </w:r>
    </w:p>
    <w:p>
      <w:pPr>
        <w:pStyle w:val="Compact"/>
        <w:numPr>
          <w:ilvl w:val="0"/>
          <w:numId w:val="1016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6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62"/>
    <w:bookmarkStart w:id="63" w:name="make-figures-accessible"/>
    <w:p>
      <w:pPr>
        <w:pStyle w:val="Heading2"/>
      </w:pPr>
      <w:r>
        <w:t xml:space="preserve">21 Make figures accessible</w:t>
      </w:r>
    </w:p>
    <w:p>
      <w:pPr>
        <w:pStyle w:val="Compact"/>
        <w:numPr>
          <w:ilvl w:val="0"/>
          <w:numId w:val="1017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7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7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63"/>
    <w:bookmarkStart w:id="65" w:name="structure-slides-for-the-reader"/>
    <w:p>
      <w:pPr>
        <w:pStyle w:val="Heading2"/>
      </w:pPr>
      <w:r>
        <w:t xml:space="preserve">22 Structure slides for the reader</w:t>
      </w:r>
    </w:p>
    <w:p>
      <w:pPr>
        <w:pStyle w:val="Compact"/>
        <w:numPr>
          <w:ilvl w:val="0"/>
          <w:numId w:val="1018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8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6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8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8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8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8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8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65"/>
    <w:bookmarkStart w:id="67" w:name="X5f21f12cbfc4e3df5e838110af4e52db506fec1"/>
    <w:p>
      <w:pPr>
        <w:pStyle w:val="Heading2"/>
      </w:pPr>
      <w:r>
        <w:t xml:space="preserve">23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19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19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19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19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66" w:name="exm-note-sheet-rows"/>
    <w:p>
      <w:pPr>
        <w:pStyle w:val="BodyText"/>
      </w:pPr>
      <w:r>
        <w:rPr>
          <w:b/>
          <w:bCs/>
        </w:rPr>
        <w:t xml:space="preserve">Example 6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66"/>
    <w:bookmarkEnd w:id="67"/>
    <w:bookmarkStart w:id="68" w:name="talk-about-the-ideas-not-the-notes"/>
    <w:p>
      <w:pPr>
        <w:pStyle w:val="Heading2"/>
      </w:pPr>
      <w:r>
        <w:t xml:space="preserve">24 Talk about the ideas, not the notes</w:t>
      </w:r>
    </w:p>
    <w:p>
      <w:pPr>
        <w:pStyle w:val="FirstParagraph"/>
      </w:pPr>
      <w:r>
        <w:t xml:space="preserve">When a</w:t>
      </w:r>
      <w:r>
        <w:t xml:space="preserve"> </w:t>
      </w:r>
      <w:hyperlink r:id="rId16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20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20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8"/>
    <w:bookmarkStart w:id="70" w:name="write-grading-rubrics-as-checklists"/>
    <w:p>
      <w:pPr>
        <w:pStyle w:val="Heading2"/>
      </w:pPr>
      <w:r>
        <w:t xml:space="preserve">25 Write grading rubrics as checklists</w:t>
      </w:r>
    </w:p>
    <w:p>
      <w:pPr>
        <w:pStyle w:val="FirstParagraph"/>
      </w:pPr>
      <w:r>
        <w:t xml:space="preserve">Structure the rubric for most STEM questions as a checklist</w:t>
      </w:r>
      <w:r>
        <w:t xml:space="preserve"> </w:t>
      </w:r>
      <w:r>
        <w:t xml:space="preserve">(Ezra, 2026-10-26).</w:t>
      </w:r>
      <w:r>
        <w:t xml:space="preserve"> </w:t>
      </w:r>
      <w:r>
        <w:t xml:space="preserve">A grader then marks each item as earned or not,</w:t>
      </w:r>
      <w:r>
        <w:t xml:space="preserve"> </w:t>
      </w:r>
      <w:r>
        <w:t xml:space="preserve">and the points are the sum of the earned items.</w:t>
      </w:r>
      <w:r>
        <w:t xml:space="preserve"> </w:t>
      </w:r>
      <w:r>
        <w:t xml:space="preserve">A rubric written as a paragraph makes the grader reconstruct the items,</w:t>
      </w:r>
      <w:r>
        <w:t xml:space="preserve"> </w:t>
      </w:r>
      <w:r>
        <w:t xml:space="preserve">and two graders reconstruct different items.</w:t>
      </w:r>
    </w:p>
    <w:p>
      <w:pPr>
        <w:pStyle w:val="Compact"/>
        <w:numPr>
          <w:ilvl w:val="0"/>
          <w:numId w:val="1021"/>
        </w:numPr>
      </w:pPr>
      <w:r>
        <w:t xml:space="preserve">Write one checklist item per observable criterion,</w:t>
      </w:r>
      <w:r>
        <w:t xml:space="preserve"> </w:t>
      </w:r>
      <w:r>
        <w:t xml:space="preserve">and put its points first.</w:t>
      </w:r>
    </w:p>
    <w:p>
      <w:pPr>
        <w:pStyle w:val="Compact"/>
        <w:numPr>
          <w:ilvl w:val="0"/>
          <w:numId w:val="1021"/>
        </w:numPr>
      </w:pPr>
      <w:r>
        <w:t xml:space="preserve">Make the points of the items sum to the question’s points,</w:t>
      </w:r>
      <w:r>
        <w:t xml:space="preserve"> </w:t>
      </w:r>
      <w:r>
        <w:t xml:space="preserve">and state that total in the line that introduces the checklist.</w:t>
      </w:r>
    </w:p>
    <w:p>
      <w:pPr>
        <w:pStyle w:val="Compact"/>
        <w:numPr>
          <w:ilvl w:val="0"/>
          <w:numId w:val="1021"/>
        </w:numPr>
      </w:pPr>
      <w:r>
        <w:t xml:space="preserve">Write each item so that it is either met or not met.</w:t>
      </w:r>
      <w:r>
        <w:t xml:space="preserve"> </w:t>
      </w:r>
      <w:r>
        <w:t xml:space="preserve">Name the answer or the evidence that meets the criterion, as in</w:t>
      </w:r>
      <w:r>
        <w:t xml:space="preserve"> </w:t>
      </w:r>
      <w:r>
        <w:t xml:space="preserve">“cites the gap between training and CV MSE”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List an acceptable alternative answer as a sub-bullet without points</w:t>
      </w:r>
      <w:r>
        <w:t xml:space="preserve"> </w:t>
      </w:r>
      <w:r>
        <w:t xml:space="preserve">under the item it also satisfies,</w:t>
      </w:r>
      <w:r>
        <w:t xml:space="preserve"> </w:t>
      </w:r>
      <w:r>
        <w:t xml:space="preserve">so the items still sum to the question’s points.</w:t>
      </w:r>
      <w:r>
        <w:t xml:space="preserve"> </w:t>
      </w:r>
      <w:r>
        <w:t xml:space="preserve">Do not put the alternative in a separate paragraph.</w:t>
      </w:r>
    </w:p>
    <w:p>
      <w:pPr>
        <w:pStyle w:val="Compact"/>
        <w:numPr>
          <w:ilvl w:val="0"/>
          <w:numId w:val="1021"/>
        </w:numPr>
      </w:pPr>
      <w:r>
        <w:t xml:space="preserve">Keep the rubric in the solution, after the answer,</w:t>
      </w:r>
      <w:r>
        <w:t xml:space="preserve"> </w:t>
      </w:r>
      <w:r>
        <w:t xml:space="preserve">so a course that withholds solutions from students withholds the rubric too.</w:t>
      </w:r>
    </w:p>
    <w:p>
      <w:pPr>
        <w:pStyle w:val="Compact"/>
        <w:numPr>
          <w:ilvl w:val="0"/>
          <w:numId w:val="1021"/>
        </w:numPr>
      </w:pPr>
      <w:r>
        <w:t xml:space="preserve">Use another structure when a question has no separable criteria,</w:t>
      </w:r>
      <w:r>
        <w:t xml:space="preserve"> </w:t>
      </w:r>
      <w:r>
        <w:t xml:space="preserve">such as a single holistic judgment of a proof’s rigor.</w:t>
      </w:r>
    </w:p>
    <w:bookmarkStart w:id="69" w:name="exm-rubric-checklist"/>
    <w:p>
      <w:pPr>
        <w:pStyle w:val="FirstParagraph"/>
      </w:pPr>
      <w:r>
        <w:rPr>
          <w:b/>
          <w:bCs/>
        </w:rPr>
        <w:t xml:space="preserve">Example 7 (A rubric as a checklist)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Grading (6 points): two for</w:t>
      </w:r>
      <w:r>
        <w:t xml:space="preserve"> </w:t>
      </w:r>
      <m:oMath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one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three for</w:t>
      </w:r>
      <w:r>
        <w:t xml:space="preserve"> </w:t>
      </w:r>
      <w:r>
        <w:t xml:space="preserve">“orthogonal”</w:t>
      </w:r>
      <w:r>
        <w:t xml:space="preserve"> </w:t>
      </w:r>
      <w:r>
        <w:t xml:space="preserve">with its link to the normal equation.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Grading (6 points):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 points: gives $\vresid = \tp{</w:t>
      </w:r>
      <w:r>
        <w:rPr>
          <w:rStyle w:val="CommentTok"/>
        </w:rPr>
        <w:t xml:space="preserve">[</w:t>
      </w:r>
      <w:r>
        <w:rPr>
          <w:rStyle w:val="OtherTok"/>
        </w:rPr>
        <w:t xml:space="preserve">-1, -1,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}$.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 point: computes $\dprod{\vx}{\vresid} = 0$.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 points: says $\vresid$ is orthogonal to $\vx$</w:t>
      </w:r>
      <w:r>
        <w:br/>
      </w:r>
      <w:r>
        <w:rPr>
          <w:rStyle w:val="NormalTok"/>
        </w:rPr>
        <w:t xml:space="preserve">  and links this orthogonality to the normal equation.</w:t>
      </w:r>
    </w:p>
    <w:p>
      <w:pPr>
        <w:pStyle w:val="FirstParagraph"/>
      </w:pPr>
      <w:r>
        <w:t xml:space="preserve">The checklist shows the grader each item to mark</w:t>
      </w:r>
      <w:r>
        <w:t xml:space="preserve"> </w:t>
      </w:r>
      <w:r>
        <w:t xml:space="preserve">and lets a script check that the points sum to the total.</w:t>
      </w:r>
    </w:p>
    <w:bookmarkEnd w:id="69"/>
    <w:bookmarkEnd w:id="70"/>
    <w:bookmarkStart w:id="74" w:name="Xcb579568ef754486ebde8b41ba4528bdf380eec"/>
    <w:p>
      <w:pPr>
        <w:pStyle w:val="Heading2"/>
      </w:pPr>
      <w:r>
        <w:t xml:space="preserve">26 Credit other courses without summarizing them</w:t>
      </w:r>
    </w:p>
    <w:p>
      <w:pPr>
        <w:pStyle w:val="Compact"/>
        <w:numPr>
          <w:ilvl w:val="0"/>
          <w:numId w:val="1022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71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22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72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Title a section by its topic, not by its author or course.</w:t>
      </w:r>
      <w:r>
        <w:t xml:space="preserve"> </w:t>
      </w:r>
      <w:hyperlink r:id="rId73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74"/>
    <w:bookmarkStart w:id="83" w:name="rules-that-apply-to-all-writing"/>
    <w:p>
      <w:pPr>
        <w:pStyle w:val="Heading2"/>
      </w:pPr>
      <w:r>
        <w:t xml:space="preserve">27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3"/>
        </w:numPr>
      </w:pPr>
      <w:hyperlink r:id="rId75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6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3"/>
        </w:numPr>
      </w:pPr>
      <w:hyperlink r:id="rId77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8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3"/>
        </w:numPr>
      </w:pPr>
      <w:hyperlink r:id="rId79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82" w:name="refs"/>
    <w:bookmarkStart w:id="81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80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79" Target="avoid-cliches.qmd" TargetMode="External" /><Relationship Type="http://schemas.openxmlformats.org/officeDocument/2006/relationships/hyperlink" Id="rId71" Target="citations-evidence.qmd#adapting-another-courses-material" TargetMode="External" /><Relationship Type="http://schemas.openxmlformats.org/officeDocument/2006/relationships/hyperlink" Id="rId73" Target="citations-evidence.qmd#put-the-content-first" TargetMode="External" /><Relationship Type="http://schemas.openxmlformats.org/officeDocument/2006/relationships/hyperlink" Id="rId72" Target="citations-evidence.qmd#quote-the-original" TargetMode="External" /><Relationship Type="http://schemas.openxmlformats.org/officeDocument/2006/relationships/hyperlink" Id="rId75" Target="conciseness.qmd#lead-with-the-subject" TargetMode="External" /><Relationship Type="http://schemas.openxmlformats.org/officeDocument/2006/relationships/hyperlink" Id="rId64" Target="conciseness.qmd#put-lists-in-bullet-points" TargetMode="External" /><Relationship Type="http://schemas.openxmlformats.org/officeDocument/2006/relationships/hyperlink" Id="rId16" Target="defining-terms.qmd#def-term" TargetMode="External" /><Relationship Type="http://schemas.openxmlformats.org/officeDocument/2006/relationships/hyperlink" Id="rId26" Target="defining-terms.qmd#def-variance-expression-and-prose" TargetMode="External" /><Relationship Type="http://schemas.openxmlformats.org/officeDocument/2006/relationships/hyperlink" Id="rId22" Target="defining-terms.qmd#guidelines-for-defining-terms" TargetMode="External" /><Relationship Type="http://schemas.openxmlformats.org/officeDocument/2006/relationships/hyperlink" Id="rId76" Target="grammar.qmd#demonstrative-pronouns" TargetMode="External" /><Relationship Type="http://schemas.openxmlformats.org/officeDocument/2006/relationships/hyperlink" Id="rId51" Target="https://cran.r-project.org/package=broom" TargetMode="External" /><Relationship Type="http://schemas.openxmlformats.org/officeDocument/2006/relationships/hyperlink" Id="rId46" Target="https://cran.r-project.org/package=gtsummary" TargetMode="External" /><Relationship Type="http://schemas.openxmlformats.org/officeDocument/2006/relationships/hyperlink" Id="rId80" Target="https://doi.org/10.1073/pnas.1319030111" TargetMode="External" /><Relationship Type="http://schemas.openxmlformats.org/officeDocument/2006/relationships/hyperlink" Id="rId54" Target="https://dplyr.tidyverse.org/" TargetMode="External" /><Relationship Type="http://schemas.openxmlformats.org/officeDocument/2006/relationships/hyperlink" Id="rId45" Target="https://easystats.github.io/parameters/" TargetMode="External" /><Relationship Type="http://schemas.openxmlformats.org/officeDocument/2006/relationships/hyperlink" Id="rId5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47" Target="https://ggplot2.tidyverse.org/" TargetMode="External" /><Relationship Type="http://schemas.openxmlformats.org/officeDocument/2006/relationships/hyperlink" Id="rId41" Target="https://github.com/Morrison-Lab/ISLR-tidymodels-labs" TargetMode="External" /><Relationship Type="http://schemas.openxmlformats.org/officeDocument/2006/relationships/hyperlink" Id="rId32" Target="https://github.com/Morrison-Lab/ai-config/pull/4386" TargetMode="External" /><Relationship Type="http://schemas.openxmlformats.org/officeDocument/2006/relationships/hyperlink" Id="rId33" Target="https://github.com/Morrison-Lab/gha" TargetMode="External" /><Relationship Type="http://schemas.openxmlformats.org/officeDocument/2006/relationships/hyperlink" Id="rId34" Target="https://github.com/Morrison-Lab/gha/issues/1193" TargetMode="External" /><Relationship Type="http://schemas.openxmlformats.org/officeDocument/2006/relationships/hyperlink" Id="rId35" Target="https://github.com/Morrison-Lab/gha/pull/1262" TargetMode="External" /><Relationship Type="http://schemas.openxmlformats.org/officeDocument/2006/relationships/hyperlink" Id="rId52" Target="https://github.com/d-morrison/rme" TargetMode="External" /><Relationship Type="http://schemas.openxmlformats.org/officeDocument/2006/relationships/hyperlink" Id="rId42" Target="https://github.com/intro-stat-learning/ISLP_labs" TargetMode="External" /><Relationship Type="http://schemas.openxmlformats.org/officeDocument/2006/relationships/hyperlink" Id="rId58" Target="https://github.com/quarto-ext/include-code-files" TargetMode="External" /><Relationship Type="http://schemas.openxmlformats.org/officeDocument/2006/relationships/hyperlink" Id="rId23" Target="https://morrison-lab.github.io/mds/functions.html#def-function" TargetMode="External" /><Relationship Type="http://schemas.openxmlformats.org/officeDocument/2006/relationships/hyperlink" Id="rId49" Target="https://strengejacke.github.io/ggeffects/" TargetMode="External" /><Relationship Type="http://schemas.openxmlformats.org/officeDocument/2006/relationships/hyperlink" Id="rId48" Target="https://strengejacke.github.io/sjPlot/" TargetMode="External" /><Relationship Type="http://schemas.openxmlformats.org/officeDocument/2006/relationships/hyperlink" Id="rId56" Target="https://tibble.tidyverse.org/" TargetMode="External" /><Relationship Type="http://schemas.openxmlformats.org/officeDocument/2006/relationships/hyperlink" Id="rId55" Target="https://tidyr.tidyverse.org/" TargetMode="External" /><Relationship Type="http://schemas.openxmlformats.org/officeDocument/2006/relationships/hyperlink" Id="rId40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36" Target="paper-organization.qmd#figures-and-tables" TargetMode="External" /><Relationship Type="http://schemas.openxmlformats.org/officeDocument/2006/relationships/hyperlink" Id="rId78" Target="word-choice.qmd#avoid-vague-and-metaphorical-language" TargetMode="External" /><Relationship Type="http://schemas.openxmlformats.org/officeDocument/2006/relationships/hyperlink" Id="rId77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9" Target="avoid-cliches.qmd" TargetMode="External" /><Relationship Type="http://schemas.openxmlformats.org/officeDocument/2006/relationships/hyperlink" Id="rId71" Target="citations-evidence.qmd#adapting-another-courses-material" TargetMode="External" /><Relationship Type="http://schemas.openxmlformats.org/officeDocument/2006/relationships/hyperlink" Id="rId73" Target="citations-evidence.qmd#put-the-content-first" TargetMode="External" /><Relationship Type="http://schemas.openxmlformats.org/officeDocument/2006/relationships/hyperlink" Id="rId72" Target="citations-evidence.qmd#quote-the-original" TargetMode="External" /><Relationship Type="http://schemas.openxmlformats.org/officeDocument/2006/relationships/hyperlink" Id="rId75" Target="conciseness.qmd#lead-with-the-subject" TargetMode="External" /><Relationship Type="http://schemas.openxmlformats.org/officeDocument/2006/relationships/hyperlink" Id="rId64" Target="conciseness.qmd#put-lists-in-bullet-points" TargetMode="External" /><Relationship Type="http://schemas.openxmlformats.org/officeDocument/2006/relationships/hyperlink" Id="rId16" Target="defining-terms.qmd#def-term" TargetMode="External" /><Relationship Type="http://schemas.openxmlformats.org/officeDocument/2006/relationships/hyperlink" Id="rId26" Target="defining-terms.qmd#def-variance-expression-and-prose" TargetMode="External" /><Relationship Type="http://schemas.openxmlformats.org/officeDocument/2006/relationships/hyperlink" Id="rId22" Target="defining-terms.qmd#guidelines-for-defining-terms" TargetMode="External" /><Relationship Type="http://schemas.openxmlformats.org/officeDocument/2006/relationships/hyperlink" Id="rId76" Target="grammar.qmd#demonstrative-pronouns" TargetMode="External" /><Relationship Type="http://schemas.openxmlformats.org/officeDocument/2006/relationships/hyperlink" Id="rId51" Target="https://cran.r-project.org/package=broom" TargetMode="External" /><Relationship Type="http://schemas.openxmlformats.org/officeDocument/2006/relationships/hyperlink" Id="rId46" Target="https://cran.r-project.org/package=gtsummary" TargetMode="External" /><Relationship Type="http://schemas.openxmlformats.org/officeDocument/2006/relationships/hyperlink" Id="rId80" Target="https://doi.org/10.1073/pnas.1319030111" TargetMode="External" /><Relationship Type="http://schemas.openxmlformats.org/officeDocument/2006/relationships/hyperlink" Id="rId54" Target="https://dplyr.tidyverse.org/" TargetMode="External" /><Relationship Type="http://schemas.openxmlformats.org/officeDocument/2006/relationships/hyperlink" Id="rId45" Target="https://easystats.github.io/parameters/" TargetMode="External" /><Relationship Type="http://schemas.openxmlformats.org/officeDocument/2006/relationships/hyperlink" Id="rId5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47" Target="https://ggplot2.tidyverse.org/" TargetMode="External" /><Relationship Type="http://schemas.openxmlformats.org/officeDocument/2006/relationships/hyperlink" Id="rId41" Target="https://github.com/Morrison-Lab/ISLR-tidymodels-labs" TargetMode="External" /><Relationship Type="http://schemas.openxmlformats.org/officeDocument/2006/relationships/hyperlink" Id="rId32" Target="https://github.com/Morrison-Lab/ai-config/pull/4386" TargetMode="External" /><Relationship Type="http://schemas.openxmlformats.org/officeDocument/2006/relationships/hyperlink" Id="rId33" Target="https://github.com/Morrison-Lab/gha" TargetMode="External" /><Relationship Type="http://schemas.openxmlformats.org/officeDocument/2006/relationships/hyperlink" Id="rId34" Target="https://github.com/Morrison-Lab/gha/issues/1193" TargetMode="External" /><Relationship Type="http://schemas.openxmlformats.org/officeDocument/2006/relationships/hyperlink" Id="rId35" Target="https://github.com/Morrison-Lab/gha/pull/1262" TargetMode="External" /><Relationship Type="http://schemas.openxmlformats.org/officeDocument/2006/relationships/hyperlink" Id="rId52" Target="https://github.com/d-morrison/rme" TargetMode="External" /><Relationship Type="http://schemas.openxmlformats.org/officeDocument/2006/relationships/hyperlink" Id="rId42" Target="https://github.com/intro-stat-learning/ISLP_labs" TargetMode="External" /><Relationship Type="http://schemas.openxmlformats.org/officeDocument/2006/relationships/hyperlink" Id="rId58" Target="https://github.com/quarto-ext/include-code-files" TargetMode="External" /><Relationship Type="http://schemas.openxmlformats.org/officeDocument/2006/relationships/hyperlink" Id="rId23" Target="https://morrison-lab.github.io/mds/functions.html#def-function" TargetMode="External" /><Relationship Type="http://schemas.openxmlformats.org/officeDocument/2006/relationships/hyperlink" Id="rId49" Target="https://strengejacke.github.io/ggeffects/" TargetMode="External" /><Relationship Type="http://schemas.openxmlformats.org/officeDocument/2006/relationships/hyperlink" Id="rId48" Target="https://strengejacke.github.io/sjPlot/" TargetMode="External" /><Relationship Type="http://schemas.openxmlformats.org/officeDocument/2006/relationships/hyperlink" Id="rId56" Target="https://tibble.tidyverse.org/" TargetMode="External" /><Relationship Type="http://schemas.openxmlformats.org/officeDocument/2006/relationships/hyperlink" Id="rId55" Target="https://tidyr.tidyverse.org/" TargetMode="External" /><Relationship Type="http://schemas.openxmlformats.org/officeDocument/2006/relationships/hyperlink" Id="rId40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36" Target="paper-organization.qmd#figures-and-tables" TargetMode="External" /><Relationship Type="http://schemas.openxmlformats.org/officeDocument/2006/relationships/hyperlink" Id="rId78" Target="word-choice.qmd#avoid-vague-and-metaphorical-language" TargetMode="External" /><Relationship Type="http://schemas.openxmlformats.org/officeDocument/2006/relationships/hyperlink" Id="rId77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2026-10-29T00:14:42Z</dcterms:created>
  <dcterms:modified xsi:type="dcterms:W3CDTF">2026-10-29T00:14:42Z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17:10:27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