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2026-10-08 21:46:26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5" w:name="avoiding-double-inequalities"/>
    <w:p>
      <w:pPr>
        <w:pStyle w:val="Heading2"/>
      </w:pPr>
      <w:r>
        <w:t xml:space="preserve">1 Avoiding double inequalities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i/>
          <w:i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2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2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4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3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3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4"/>
    <w:bookmarkEnd w:id="15"/>
    <w:bookmarkStart w:id="20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6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7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7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8" w:name="using-a-fact-the-reader-has-not-seen"/>
    <w:p>
      <w:pPr>
        <w:pStyle w:val="Heading3"/>
      </w:pPr>
      <w:r>
        <w:t xml:space="preserve">2.1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18"/>
    <w:bookmarkStart w:id="19" w:name="long-derivations"/>
    <w:p>
      <w:pPr>
        <w:pStyle w:val="Heading3"/>
      </w:pPr>
      <w:r>
        <w:t xml:space="preserve">2.2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For example, when you apply the chain rule,</w:t>
      </w:r>
      <w:r>
        <w:t xml:space="preserve"> </w:t>
      </w:r>
      <w:r>
        <w:t xml:space="preserve">derive the inner derivative in a separate block</w:t>
      </w:r>
      <w:r>
        <w:t xml:space="preserve"> </w:t>
      </w:r>
      <w:r>
        <w:t xml:space="preserve">before you substitute it.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End w:id="19"/>
    <w:bookmarkEnd w:id="20"/>
    <w:bookmarkStart w:id="22" w:name="functions-and-their-values"/>
    <w:p>
      <w:pPr>
        <w:pStyle w:val="Heading2"/>
      </w:pPr>
      <w:r>
        <w:t xml:space="preserve">3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21" w:name="exm-function-evaluated-at"/>
    <w:p>
      <w:pPr>
        <w:pStyle w:val="BodyText"/>
      </w:pPr>
      <w:r>
        <w:rPr>
          <w:b/>
          <w:bCs/>
        </w:rPr>
        <w:t xml:space="preserve">Example 4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2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3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3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3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22"/>
    <w:bookmarkStart w:id="25" w:name="matching-names-and-notation"/>
    <w:p>
      <w:pPr>
        <w:pStyle w:val="Heading2"/>
      </w:pPr>
      <w:r>
        <w:t xml:space="preserve">4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name-matches-notation"/>
    <w:p>
      <w:pPr>
        <w:pStyle w:val="BodyText"/>
      </w:pPr>
      <w:r>
        <w:rPr>
          <w:b/>
          <w:bCs/>
        </w:rPr>
        <w:t xml:space="preserve">Example 5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25"/>
    <w:bookmarkStart w:id="31" w:name="using-shared-macros"/>
    <w:p>
      <w:pPr>
        <w:pStyle w:val="Heading2"/>
      </w:pPr>
      <w:r>
        <w:t xml:space="preserve">5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26" w:name="exm-use-shared-macro"/>
    <w:p>
      <w:pPr>
        <w:pStyle w:val="BodyText"/>
      </w:pPr>
      <w:r>
        <w:rPr>
          <w:b/>
          <w:bCs/>
        </w:rPr>
        <w:t xml:space="preserve">Example 6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2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4"/>
        </w:numPr>
      </w:pPr>
      <w:r>
        <w:t xml:space="preserve">transposes</w:t>
      </w:r>
    </w:p>
    <w:p>
      <w:pPr>
        <w:pStyle w:val="Compact"/>
        <w:numPr>
          <w:ilvl w:val="0"/>
          <w:numId w:val="1004"/>
        </w:numPr>
      </w:pPr>
      <w:r>
        <w:t xml:space="preserve">hats on estimates</w:t>
      </w:r>
    </w:p>
    <w:p>
      <w:pPr>
        <w:pStyle w:val="Compact"/>
        <w:numPr>
          <w:ilvl w:val="0"/>
          <w:numId w:val="1004"/>
        </w:numPr>
      </w:pPr>
      <w:r>
        <w:t xml:space="preserve">expectations</w:t>
      </w:r>
    </w:p>
    <w:p>
      <w:pPr>
        <w:pStyle w:val="Compact"/>
        <w:numPr>
          <w:ilvl w:val="0"/>
          <w:numId w:val="1004"/>
        </w:numPr>
      </w:pPr>
      <w:r>
        <w:t xml:space="preserve">variances</w:t>
      </w:r>
    </w:p>
    <w:p>
      <w:pPr>
        <w:pStyle w:val="Compact"/>
        <w:numPr>
          <w:ilvl w:val="0"/>
          <w:numId w:val="1004"/>
        </w:numPr>
      </w:pPr>
      <w:r>
        <w:t xml:space="preserve">probabilities</w:t>
      </w:r>
    </w:p>
    <w:p>
      <w:pPr>
        <w:pStyle w:val="Compact"/>
        <w:numPr>
          <w:ilvl w:val="0"/>
          <w:numId w:val="1004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27" w:name="exm-semantic-macro-name"/>
    <w:p>
      <w:pPr>
        <w:pStyle w:val="BodyText"/>
      </w:pPr>
      <w:r>
        <w:rPr>
          <w:b/>
          <w:bCs/>
        </w:rPr>
        <w:t xml:space="preserve">Example 7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2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28" w:name="exm-semantic-decorator"/>
    <w:p>
      <w:pPr>
        <w:pStyle w:val="BodyText"/>
      </w:pPr>
      <w:r>
        <w:rPr>
          <w:b/>
          <w:bCs/>
        </w:rPr>
        <w:t xml:space="preserve">Example 8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2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29" w:name="exm-semantic-latin-letter"/>
    <w:p>
      <w:pPr>
        <w:pStyle w:val="BodyText"/>
      </w:pPr>
      <w:r>
        <w:rPr>
          <w:b/>
          <w:bCs/>
        </w:rPr>
        <w:t xml:space="preserve">Example 9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2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30" w:name="exm-named-quantity"/>
    <w:p>
      <w:pPr>
        <w:pStyle w:val="BodyText"/>
      </w:pPr>
      <w:r>
        <w:rPr>
          <w:b/>
          <w:bCs/>
        </w:rPr>
        <w:t xml:space="preserve">Example 10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30"/>
    <w:bookmarkEnd w:id="31"/>
    <w:bookmarkStart w:id="33" w:name="writing-dot-products"/>
    <w:p>
      <w:pPr>
        <w:pStyle w:val="Heading2"/>
      </w:pPr>
      <w:r>
        <w:t xml:space="preserve">6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11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32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6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6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33"/>
    <w:bookmarkStart w:id="36" w:name="writing-out-notational-shorthands"/>
    <w:p>
      <w:pPr>
        <w:pStyle w:val="Heading2"/>
      </w:pPr>
      <w:r>
        <w:t xml:space="preserve">7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35" w:name="exm-notational-shorthand"/>
    <w:p>
      <w:pPr>
        <w:pStyle w:val="BodyText"/>
      </w:pPr>
      <w:r>
        <w:rPr>
          <w:b/>
          <w:bCs/>
        </w:rPr>
        <w:t xml:space="preserve">Example 12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6" Target="citations-evidence.qmd#trivial-and-trivially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4" Target="https://morrison-lab.github.io/mds/notation.html#sec-notational-shorthand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citations-evidence.qmd#trivial-and-trivially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4" Target="https://morrison-lab.github.io/mds/notation.html#sec-notational-shorthand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2026-10-09T04:50:05Z</dcterms:created>
  <dcterms:modified xsi:type="dcterms:W3CDTF">2026-10-09T04:50:05Z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21:46:26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