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22:06:13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substituting a definition and then applying a rule to it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(see</w:t>
        </w:r>
      </w:ins>
      <w:ins w:id="6" w:author="PR Preview" w:date="2026-01-01T00:00:00Z">
        <w:r>
          <w:t xml:space="preserve"> </w:t>
        </w:r>
      </w:ins>
      <w:hyperlink w:anchor="applying-a-definition-is-a-step">
        <w:ins w:id="7" w:author="PR Preview" w:date="2026-01-01T00:00:00Z">
          <w:r>
            <w:rPr>
              <w:rStyle w:val="Hyperlink"/>
            </w:rPr>
            <w:t xml:space="preserve">Applying a definition is a step</w:t>
          </w:r>
        </w:ins>
      </w:hyperlink>
      <w:ins w:id="8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del w:id="9" w:author="PR Preview" w:date="2026-01-01T00:00:00Z">
        <w:r>
          <w:delText xml:space="preserve">2.1 Using a fact the reader has not seen</w:delText>
        </w:r>
      </w:del>
    </w:p>
    <w:p>
      <w:pPr>
        <w:pStyle w:val="Heading3"/>
      </w:pPr>
      <w:ins w:id="10" w:author="PR Preview" w:date="2026-01-01T00:00:00Z">
        <w:r>
          <w:t xml:space="preserve">2.1 Applying a definition is a step</w:t>
        </w:r>
      </w:ins>
    </w:p>
    <w:p>
      <w:pPr>
        <w:pStyle w:val="FirstParagraph"/>
      </w:pPr>
      <w:ins w:id="11" w:author="PR Preview" w:date="2026-01-01T00:00:00Z">
        <w:r>
          <w:t xml:space="preserve">Replacing a named quantity with its definition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is one of the most important steps in a derivation.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It is where the general rules meet the specific problem,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so never skip it or merge it into the next step.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Give it its own line, justified as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“definition of …”</w:t>
        </w:r>
      </w:ins>
      <w:ins w:id="22" w:author="PR Preview" w:date="2026-01-01T00:00:00Z">
        <w: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The same holds for a result from an earlier part of the same problem: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substitute it on its own line, and cite the part.</w:t>
        </w:r>
      </w:ins>
    </w:p>
    <w:bookmarkStart w:id="18" w:name="exm-apply-definition-step"/>
    <w:p>
      <w:pPr>
        <w:pStyle w:val="BodyText"/>
      </w:pPr>
      <w:ins w:id="27" w:author="PR Preview" w:date="2026-01-01T00:00:00Z">
        <w:r>
          <w:rPr>
            <w:b/>
            <w:bCs/>
          </w:rPr>
          <w:t xml:space="preserve">Example 4 (Applying the definition of a vector before differentiating it)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Suppose the prediction error vector is defined as</w:t>
        </w:r>
      </w:ins>
      <w:ins w:id="3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ins w:id="31" w:author="PR Preview" w:date="2026-01-01T00:00:00Z">
        <w:r>
          <w:t xml:space="preserve">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a derivation needs its derivative with respect to</w:t>
        </w:r>
      </w:ins>
      <w:ins w:id="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5" w:author="PR Preview" w:date="2026-01-01T00:00:00Z">
        <w:r>
          <w:t xml:space="preserve">.</w:t>
        </w:r>
      </w:ins>
    </w:p>
    <w:p>
      <w:pPr>
        <w:pStyle w:val="BlockText"/>
      </w:pPr>
      <w:ins w:id="36" w:author="PR Preview" w:date="2026-01-01T00:00:00Z">
        <w:r>
          <w:t xml:space="preserve">❌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ins w:id="37" w:author="PR Preview" w:date="2026-01-01T00:00:00Z">
        <w:r>
          <w:t xml:space="preserve">✅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ins w:id="38" w:author="PR Preview" w:date="2026-01-01T00:00:00Z">
        <w:r>
          <w:t xml:space="preserve">The ❌ version applies the definition of</w:t>
        </w:r>
      </w:ins>
      <w:ins w:id="3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e</m:t>
            </m:r>
          </m:e>
        </m:acc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the rule for a difference in one line,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and its justification names only the rule.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The ✅ version shows the definition on its own line.</w:t>
        </w:r>
      </w:ins>
    </w:p>
    <w:bookmarkEnd w:id="18"/>
    <w:bookmarkEnd w:id="19"/>
    <w:bookmarkStart w:id="20" w:name="using-a-fact-the-reader-has-not-seen"/>
    <w:p>
      <w:pPr>
        <w:pStyle w:val="Heading3"/>
      </w:pPr>
      <w:ins w:id="46" w:author="PR Preview" w:date="2026-01-01T00:00:00Z">
        <w:r>
          <w:t xml:space="preserve">2.2 Using a fact the reader has not seen</w:t>
        </w:r>
      </w:ins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del w:id="47" w:author="PR Preview" w:date="2026-01-01T00:00:00Z">
        <w:r>
          <w:delText xml:space="preserve">2.2 Long derivations</w:delText>
        </w:r>
      </w:del>
    </w:p>
    <w:p>
      <w:pPr>
        <w:pStyle w:val="FirstParagraph"/>
      </w:pPr>
      <w:del w:id="48" w:author="PR Preview" w:date="2026-01-01T00:00:00Z">
        <w:r>
          <w:delText xml:space="preserve">Splitting every step makes derivations longer.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Keep them readable by breaking them into stages: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derive an intermediate result in its own block,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then plug that result back into the main derivation.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For example, when you apply the chain rule,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derive the inner derivative in a separate block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before you substitute it.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Naming a part of an expression that recurs in every line,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such as writing</w:delText>
        </w:r>
      </w:del>
      <w:del w:id="65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t>i</m:t>
            </m:r>
          </m:sub>
        </m:sSub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for</w:delText>
        </w:r>
      </w:del>
      <w:del w:id="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can also keep each line short.</w:delText>
        </w:r>
      </w:del>
    </w:p>
    <w:p>
      <w:pPr>
        <w:pStyle w:val="Heading3"/>
      </w:pPr>
      <w:ins w:id="72" w:author="PR Preview" w:date="2026-01-01T00:00:00Z">
        <w:r>
          <w:t xml:space="preserve">2.3 Long derivations</w:t>
        </w:r>
      </w:ins>
    </w:p>
    <w:p>
      <w:pPr>
        <w:pStyle w:val="FirstParagraph"/>
      </w:pPr>
      <w:ins w:id="73" w:author="PR Preview" w:date="2026-01-01T00:00:00Z">
        <w:r>
          <w:t xml:space="preserve">Splitting every step makes derivations longer.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Keep them readable by breaking them into stages: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derive an intermediate result in its own block,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then plug that result back into the main derivation.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Naming a part of an expression that recurs in every line,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such as writing</w:t>
        </w:r>
      </w:ins>
      <w:ins w:id="84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i</m:t>
            </m:r>
          </m:sub>
        </m:sSub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for</w:t>
        </w:r>
      </w:ins>
      <w:ins w:id="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can also keep each line short.</w:t>
        </w:r>
      </w:ins>
    </w:p>
    <w:bookmarkStart w:id="21" w:name="X00e3fe72795486834d7309e5f3912c392b664b0"/>
    <w:p>
      <w:pPr>
        <w:pStyle w:val="Heading4"/>
      </w:pPr>
      <w:ins w:id="91" w:author="PR Preview" w:date="2026-01-01T00:00:00Z">
        <w:r>
          <w:t xml:space="preserve">Show why you need a result before you derive it</w:t>
        </w:r>
      </w:ins>
    </w:p>
    <w:p>
      <w:pPr>
        <w:pStyle w:val="FirstParagraph"/>
      </w:pPr>
      <w:ins w:id="92" w:author="PR Preview" w:date="2026-01-01T00:00:00Z">
        <w:r>
          <w:t xml:space="preserve">Derive an intermediate result only after the main derivation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has shown that it needs that result.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example, to differentiate a composite function:</w:t>
        </w:r>
      </w:ins>
    </w:p>
    <w:p>
      <w:pPr>
        <w:pStyle w:val="Compact"/>
        <w:numPr>
          <w:ilvl w:val="0"/>
          <w:numId w:val="1003"/>
        </w:numPr>
      </w:pPr>
      <w:ins w:id="97" w:author="PR Preview" w:date="2026-01-01T00:00:00Z">
        <w:r>
          <w:t xml:space="preserve">Start the main derivation, and apply the chain rule.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 result is a product of an inner and an outer derivative, not yet known.</w:t>
        </w:r>
      </w:ins>
    </w:p>
    <w:p>
      <w:pPr>
        <w:pStyle w:val="Compact"/>
        <w:numPr>
          <w:ilvl w:val="0"/>
          <w:numId w:val="1003"/>
        </w:numPr>
      </w:pPr>
      <w:ins w:id="100" w:author="PR Preview" w:date="2026-01-01T00:00:00Z">
        <w:r>
          <w:t xml:space="preserve">Pause the main derivation, and derive the inner derivative in its own block.</w:t>
        </w:r>
      </w:ins>
    </w:p>
    <w:p>
      <w:pPr>
        <w:pStyle w:val="Compact"/>
        <w:numPr>
          <w:ilvl w:val="0"/>
          <w:numId w:val="1003"/>
        </w:numPr>
      </w:pPr>
      <w:ins w:id="101" w:author="PR Preview" w:date="2026-01-01T00:00:00Z">
        <w:r>
          <w:t xml:space="preserve">Derive the outer derivative in its own block.</w:t>
        </w:r>
      </w:ins>
    </w:p>
    <w:p>
      <w:pPr>
        <w:pStyle w:val="Compact"/>
        <w:numPr>
          <w:ilvl w:val="0"/>
          <w:numId w:val="1003"/>
        </w:numPr>
      </w:pPr>
      <w:ins w:id="102" w:author="PR Preview" w:date="2026-01-01T00:00:00Z">
        <w:r>
          <w:t xml:space="preserve">Return to the main derivation, and substitute both results.</w:t>
        </w:r>
      </w:ins>
    </w:p>
    <w:p>
      <w:pPr>
        <w:pStyle w:val="FirstParagraph"/>
      </w:pPr>
      <w:ins w:id="103" w:author="PR Preview" w:date="2026-01-01T00:00:00Z">
        <w:r>
          <w:t xml:space="preserve">A reader who meets the inner derivative first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does not yet know what it is for.</w:t>
        </w:r>
      </w:ins>
    </w:p>
    <w:bookmarkEnd w:id="21"/>
    <w:bookmarkStart w:id="23" w:name="color-where-a-result-is-used"/>
    <w:p>
      <w:pPr>
        <w:pStyle w:val="Heading4"/>
      </w:pPr>
      <w:ins w:id="106" w:author="PR Preview" w:date="2026-01-01T00:00:00Z">
        <w:r>
          <w:t xml:space="preserve">Color where a result is used</w:t>
        </w:r>
      </w:ins>
    </w:p>
    <w:p>
      <w:pPr>
        <w:pStyle w:val="FirstParagraph"/>
      </w:pPr>
      <w:ins w:id="107" w:author="PR Preview" w:date="2026-01-01T00:00:00Z">
        <w:r>
          <w:t xml:space="preserve">Give each intermediate result a text color,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use the same color wherever that result appears:</w:t>
        </w:r>
      </w:ins>
    </w:p>
    <w:p>
      <w:pPr>
        <w:pStyle w:val="Compact"/>
        <w:numPr>
          <w:ilvl w:val="0"/>
          <w:numId w:val="1004"/>
        </w:numPr>
      </w:pPr>
      <w:ins w:id="110" w:author="PR Preview" w:date="2026-01-01T00:00:00Z">
        <w:r>
          <w:t xml:space="preserve">in the line where a later step needs it, as a placeholder;</w:t>
        </w:r>
      </w:ins>
    </w:p>
    <w:p>
      <w:pPr>
        <w:pStyle w:val="Compact"/>
        <w:numPr>
          <w:ilvl w:val="0"/>
          <w:numId w:val="1004"/>
        </w:numPr>
      </w:pPr>
      <w:ins w:id="111" w:author="PR Preview" w:date="2026-01-01T00:00:00Z">
        <w:r>
          <w:t xml:space="preserve">in the line of its own derivation where it is found;</w:t>
        </w:r>
      </w:ins>
    </w:p>
    <w:p>
      <w:pPr>
        <w:pStyle w:val="Compact"/>
        <w:numPr>
          <w:ilvl w:val="0"/>
          <w:numId w:val="1004"/>
        </w:numPr>
      </w:pPr>
      <w:ins w:id="112" w:author="PR Preview" w:date="2026-01-01T00:00:00Z">
        <w:r>
          <w:t xml:space="preserve">in each line where it is substituted back in.</w:t>
        </w:r>
      </w:ins>
    </w:p>
    <w:p>
      <w:pPr>
        <w:pStyle w:val="FirstParagraph"/>
      </w:pPr>
      <w:ins w:id="113" w:author="PR Preview" w:date="2026-01-01T00:00:00Z">
        <w:r>
          <w:t xml:space="preserve">State the color key in words at the start of the derivation,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so the derivation is still readable without color,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for example in grayscale print or for readers who do not see color differences.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Use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rPr>
            <w:rStyle w:val="VerbatimChar"/>
          </w:rPr>
          <w:t xml:space="preserve">\textcolor{name}{...}</w:t>
        </w:r>
      </w:ins>
      <w:ins w:id="122" w:author="PR Preview" w:date="2026-01-01T00:00:00Z">
        <w:r>
          <w:t xml:space="preserve">, which renders in HTML (MathJax) and in PDF.</w:t>
        </w:r>
      </w:ins>
    </w:p>
    <w:bookmarkStart w:id="22" w:name="exm-color-plug-in"/>
    <w:p>
      <w:pPr>
        <w:pStyle w:val="BodyText"/>
      </w:pPr>
      <w:ins w:id="123" w:author="PR Preview" w:date="2026-01-01T00:00:00Z">
        <w:r>
          <w:rPr>
            <w:b/>
            <w:bCs/>
          </w:rPr>
          <w:t xml:space="preserve">Example 5 (Coloring the two factors of a chain rule)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Writing the mean squared error as</w:t>
        </w:r>
      </w:ins>
      <w:ins w:id="12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with</w:t>
        </w:r>
      </w:ins>
      <w:ins w:id="13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ins w:id="131" w:author="PR Preview" w:date="2026-01-01T00:00:00Z">
        <w:r>
          <w:t xml:space="preserve">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the chain rule gives</w:t>
        </w:r>
      </w:ins>
    </w:p>
    <w:p>
      <w:pPr>
        <w:pStyle w:val="BodyText"/>
      </w:pPr>
      <w:ins w:id="134" w:author="PR Preview" w:date="2026-01-01T00:00:00Z">
        <w:r>
  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  </w:r>
      </w:ins>
    </w:p>
    <w:p>
      <w:pPr>
        <w:pStyle w:val="FirstParagraph"/>
      </w:pPr>
      <w:ins w:id="135" w:author="PR Preview" w:date="2026-01-01T00:00:00Z">
        <w:r>
          <w:t xml:space="preserve">Separate blocks then find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$\textcolor{blue}{\frac{\partial}{\partial \tilde{\beta}} \tilde{e}} = \textcolor{blue}{\Phi^\top}$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and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$\textcolor{red}{\frac{\partial}{\partial \tilde{e}} \frac{1}{n} \tilde{e} \cdot \tilde{e}} = \textcolor{red}{\frac{2}{n} \tilde{e}}$</w:t>
        </w:r>
      </w:ins>
      <w:ins w:id="142" w:author="PR Preview" w:date="2026-01-01T00:00:00Z">
        <w:r>
          <w:t xml:space="preserve">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 the main derivation resumes with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$\textcolor{blue}{\Phi^\top} \textcolor{red}{\left(\frac{2}{n} \tilde{e}\right)}$</w:t>
        </w:r>
      </w:ins>
      <w:ins w:id="147" w:author="PR Preview" w:date="2026-01-01T00:00:00Z">
        <w:r>
          <w:t xml:space="preserve">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 colors show at a glance which block each factor came from.</w:t>
        </w:r>
      </w:ins>
    </w:p>
    <w:bookmarkEnd w:id="22"/>
    <w:bookmarkEnd w:id="23"/>
    <w:bookmarkEnd w:id="24"/>
    <w:bookmarkEnd w:id="25"/>
    <w:bookmarkStart w:id="27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6" w:name="exm-function-evaluated-at"/>
    <w:p>
      <w:pPr>
        <w:pStyle w:val="BodyText"/>
      </w:pPr>
      <w:del w:id="150" w:author="PR Preview" w:date="2026-01-01T00:00:00Z">
        <w:r>
          <w:rPr>
            <w:b/>
            <w:bCs/>
          </w:rPr>
          <w:delText xml:space="preserve">Example 4 (Saying where a function is evaluated)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 </w:delText>
        </w:r>
      </w:del>
    </w:p>
    <w:p>
      <w:pPr>
        <w:pStyle w:val="BodyText"/>
      </w:pPr>
      <w:ins w:id="153" w:author="PR Preview" w:date="2026-01-01T00:00:00Z">
        <w:r>
          <w:rPr>
            <w:b/>
            <w:bCs/>
          </w:rPr>
          <w:t xml:space="preserve">Example 6 (Saying where a function is evaluated)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6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7"/>
    <w:bookmarkStart w:id="30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name-matches-notation"/>
    <w:p>
      <w:pPr>
        <w:pStyle w:val="BodyText"/>
      </w:pPr>
      <w:del w:id="156" w:author="PR Preview" w:date="2026-01-01T00:00:00Z">
        <w:r>
          <w:rPr>
            <w:b/>
            <w:bCs/>
          </w:rPr>
          <w:delText xml:space="preserve">Example 5 (Matching a name to its notation)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 </w:delText>
        </w:r>
      </w:del>
    </w:p>
    <w:p>
      <w:pPr>
        <w:pStyle w:val="BodyText"/>
      </w:pPr>
      <w:ins w:id="159" w:author="PR Preview" w:date="2026-01-01T00:00:00Z">
        <w:r>
          <w:rPr>
            <w:b/>
            <w:bCs/>
          </w:rPr>
          <w:t xml:space="preserve">Example 7 (Matching a name to its notation)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9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0"/>
    <w:bookmarkStart w:id="36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1" w:name="exm-use-shared-macro"/>
    <w:p>
      <w:pPr>
        <w:pStyle w:val="BodyText"/>
      </w:pPr>
      <w:del w:id="162" w:author="PR Preview" w:date="2026-01-01T00:00:00Z">
        <w:r>
          <w:rPr>
            <w:b/>
            <w:bCs/>
          </w:rPr>
          <w:delText xml:space="preserve">Example 6 (Using a shared macro)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This example compares the source you type,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so both versions appear as code.</w:delText>
        </w:r>
      </w:del>
    </w:p>
    <w:p>
      <w:pPr>
        <w:pStyle w:val="BodyText"/>
      </w:pPr>
      <w:ins w:id="167" w:author="PR Preview" w:date="2026-01-01T00:00:00Z">
        <w:r>
          <w:rPr>
            <w:b/>
            <w:bCs/>
          </w:rPr>
          <w:t xml:space="preserve">Example 8 (Using a shared macro)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This example compares the source you type,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so both versions appear as code.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1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6"/>
        </w:numPr>
      </w:pPr>
      <w:r>
        <w:t xml:space="preserve">transposes</w:t>
      </w:r>
    </w:p>
    <w:p>
      <w:pPr>
        <w:pStyle w:val="Compact"/>
        <w:numPr>
          <w:ilvl w:val="0"/>
          <w:numId w:val="1006"/>
        </w:numPr>
      </w:pPr>
      <w:r>
        <w:t xml:space="preserve">hats on estimates</w:t>
      </w:r>
    </w:p>
    <w:p>
      <w:pPr>
        <w:pStyle w:val="Compact"/>
        <w:numPr>
          <w:ilvl w:val="0"/>
          <w:numId w:val="1006"/>
        </w:numPr>
      </w:pPr>
      <w:r>
        <w:t xml:space="preserve">expectations</w:t>
      </w:r>
    </w:p>
    <w:p>
      <w:pPr>
        <w:pStyle w:val="Compact"/>
        <w:numPr>
          <w:ilvl w:val="0"/>
          <w:numId w:val="1006"/>
        </w:numPr>
      </w:pPr>
      <w:r>
        <w:t xml:space="preserve">variances</w:t>
      </w:r>
    </w:p>
    <w:p>
      <w:pPr>
        <w:pStyle w:val="Compact"/>
        <w:numPr>
          <w:ilvl w:val="0"/>
          <w:numId w:val="1006"/>
        </w:numPr>
      </w:pPr>
      <w:r>
        <w:t xml:space="preserve">probabilities</w:t>
      </w:r>
    </w:p>
    <w:p>
      <w:pPr>
        <w:pStyle w:val="Compact"/>
        <w:numPr>
          <w:ilvl w:val="0"/>
          <w:numId w:val="1006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2" w:name="exm-semantic-macro-name"/>
    <w:p>
      <w:pPr>
        <w:pStyle w:val="BodyText"/>
      </w:pPr>
      <w:del w:id="172" w:author="PR Preview" w:date="2026-01-01T00:00:00Z">
        <w:r>
          <w:rPr>
            <w:b/>
            <w:bCs/>
          </w:rPr>
          <w:delText xml:space="preserve">Example 7 (Naming a macro for its meaning)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 </w:delText>
        </w:r>
      </w:del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Example 9 (Naming a macro for its meaning)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2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3" w:name="exm-semantic-decorator"/>
    <w:p>
      <w:pPr>
        <w:pStyle w:val="BodyText"/>
      </w:pPr>
      <w:del w:id="178" w:author="PR Preview" w:date="2026-01-01T00:00:00Z">
        <w:r>
          <w:rPr>
            <w:b/>
            <w:bCs/>
          </w:rPr>
          <w:delText xml:space="preserve">Example 8 (Naming a decorator for its meaning)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 </w:delText>
        </w:r>
      </w:del>
    </w:p>
    <w:p>
      <w:pPr>
        <w:pStyle w:val="BodyText"/>
      </w:pPr>
      <w:ins w:id="181" w:author="PR Preview" w:date="2026-01-01T00:00:00Z">
        <w:r>
          <w:rPr>
            <w:b/>
            <w:bCs/>
          </w:rPr>
          <w:t xml:space="preserve">Example 10 (Naming a decorator for its meaning)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3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4" w:name="exm-semantic-latin-letter"/>
    <w:p>
      <w:pPr>
        <w:pStyle w:val="BodyText"/>
      </w:pPr>
      <w:del w:id="184" w:author="PR Preview" w:date="2026-01-01T00:00:00Z">
        <w:r>
          <w:rPr>
            <w:b/>
            <w:bCs/>
          </w:rPr>
          <w:delText xml:space="preserve">Example 9 (Naming a variable for its role)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 </w:delText>
        </w:r>
      </w:del>
    </w:p>
    <w:p>
      <w:pPr>
        <w:pStyle w:val="BodyText"/>
      </w:pPr>
      <w:ins w:id="187" w:author="PR Preview" w:date="2026-01-01T00:00:00Z">
        <w:r>
          <w:rPr>
            <w:b/>
            <w:bCs/>
          </w:rPr>
          <w:t xml:space="preserve">Example 11 (Naming a variable for its role)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4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5" w:name="exm-named-quantity"/>
    <w:p>
      <w:pPr>
        <w:pStyle w:val="BodyText"/>
      </w:pPr>
      <w:del w:id="190" w:author="PR Preview" w:date="2026-01-01T00:00:00Z">
        <w:r>
          <w:rPr>
            <w:b/>
            <w:bCs/>
          </w:rPr>
          <w:delText xml:space="preserve">Example 10 (Writing a named quantity by its name)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 </w:delText>
        </w:r>
      </w:del>
    </w:p>
    <w:p>
      <w:pPr>
        <w:pStyle w:val="BodyText"/>
      </w:pPr>
      <w:ins w:id="193" w:author="PR Preview" w:date="2026-01-01T00:00:00Z">
        <w:r>
          <w:rPr>
            <w:b/>
            <w:bCs/>
          </w:rPr>
          <w:t xml:space="preserve">Example 12 (Writing a named quantity by its name)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5"/>
    <w:bookmarkEnd w:id="36"/>
    <w:bookmarkStart w:id="38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37" w:name="exm-dot-product"/>
    <w:p>
      <w:pPr>
        <w:pStyle w:val="BodyText"/>
      </w:pPr>
      <w:del w:id="196" w:author="PR Preview" w:date="2026-01-01T00:00:00Z">
        <w:r>
          <w:rPr>
            <w:b/>
            <w:bCs/>
          </w:rPr>
          <w:delText xml:space="preserve">Example 11 (Writing a dot product)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 </w:delText>
        </w:r>
      </w:del>
    </w:p>
    <w:p>
      <w:pPr>
        <w:pStyle w:val="BodyText"/>
      </w:pPr>
      <w:ins w:id="199" w:author="PR Preview" w:date="2026-01-01T00:00:00Z">
        <w:r>
          <w:rPr>
            <w:b/>
            <w:bCs/>
          </w:rPr>
          <w:t xml:space="preserve">Example 13 (Writing a dot product)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3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8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8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8"/>
    <w:bookmarkStart w:id="41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0" w:name="exm-notational-shorthand"/>
    <w:p>
      <w:pPr>
        <w:pStyle w:val="BodyText"/>
      </w:pPr>
      <w:del w:id="202" w:author="PR Preview" w:date="2026-01-01T00:00:00Z">
        <w:r>
          <w:rPr>
            <w:b/>
            <w:bCs/>
          </w:rPr>
          <w:delText xml:space="preserve">Example 12 (Writing out the limits of a sum and the range of an index)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For a discrete random variable</w:delText>
        </w:r>
      </w:del>
      <w:del w:id="205" w:author="PR Preview" w:date="2026-01-01T00:00:00Z">
        <w:r>
          <w:delText xml:space="preserve"> </w:delText>
        </w:r>
      </w:del>
      <m:oMath>
        <m:r>
          <m:t>X</m:t>
        </m:r>
      </m:oMath>
      <w:del w:id="206" w:author="PR Preview" w:date="2026-01-01T00:00:00Z">
        <w:r>
          <w:delText xml:space="preserve">:</w:delText>
        </w:r>
      </w:del>
    </w:p>
    <w:p>
      <w:pPr>
        <w:pStyle w:val="BodyText"/>
      </w:pPr>
      <w:ins w:id="207" w:author="PR Preview" w:date="2026-01-01T00:00:00Z">
        <w:r>
          <w:rPr>
            <w:b/>
            <w:bCs/>
          </w:rPr>
          <w:t xml:space="preserve">Example 14 (Writing out the limits of a sum and the range of an index)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 a discrete random variable</w:t>
        </w:r>
      </w:ins>
      <w:ins w:id="210" w:author="PR Preview" w:date="2026-01-01T00:00:00Z">
        <w:r>
          <w:t xml:space="preserve"> </w:t>
        </w:r>
      </w:ins>
      <m:oMath>
        <m:r>
          <m:t>X</m:t>
        </m:r>
      </m:oMath>
      <w:ins w:id="211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6" Type="http://schemas.openxmlformats.org/officeDocument/2006/relationships/hyperlink" Target="citations-evidence.qmd#trivial-and-trivially" TargetMode="External"/><Relationship Id="rId28" Type="http://schemas.openxmlformats.org/officeDocument/2006/relationships/hyperlink" Target="defining-terms.qmd#guidelines-for-defining-terms" TargetMode="External"/><Relationship Id="rId39" Type="http://schemas.openxmlformats.org/officeDocument/2006/relationships/hyperlink" Target="https://morrison-lab.github.io/mds/notation.html#sec-notational-shorthands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citations-evidence.qmd#trivial-and-trivially" TargetMode="External"/><Relationship Id="rId28" Type="http://schemas.openxmlformats.org/officeDocument/2006/relationships/hyperlink" Target="defining-terms.qmd#guidelines-for-defining-terms" TargetMode="External"/><Relationship Id="rId39" Type="http://schemas.openxmlformats.org/officeDocument/2006/relationships/hyperlink" Target="https://morrison-lab.github.io/mds/notation.html#sec-notational-shorthan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2026-10-09T05:09:40Z</dcterms:created>
  <dcterms:modified xsi:type="dcterms:W3CDTF">2026-10-09T05:09:40Z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