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Writing for teaching</w:t>
      </w:r>
    </w:p>
    <w:p>
      <w:pPr>
        <w:pStyle w:val="Date"/>
      </w:pPr>
      <w:r>
        <w:t xml:space="preserve">Last modified: 2026-10-08 22:06:13 (PDT)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Lecture notes, slides, and problem sets teach rather than report.</w:t>
      </w:r>
      <w:r>
        <w:t xml:space="preserve"> </w:t>
      </w:r>
      <w:r>
        <w:t xml:space="preserve">The general rules for scientific writing in the other chapters still apply.</w:t>
      </w:r>
      <w:r>
        <w:t xml:space="preserve"> </w:t>
      </w:r>
      <w:r>
        <w:t xml:space="preserve">This chapter adds the rules that apply to teaching materials in particular.</w:t>
      </w:r>
    </w:p>
    <w:bookmarkStart w:id="13" w:name="X54d80540a68b433948113395869433e0fc9698c"/>
    <w:p>
      <w:pPr>
        <w:pStyle w:val="Heading2"/>
      </w:pPr>
      <w:r>
        <w:t xml:space="preserve">1 Build the lecture from exercises and solutions</w:t>
      </w:r>
    </w:p>
    <w:p>
      <w:pPr>
        <w:pStyle w:val="FirstParagraph"/>
      </w:pPr>
      <w:r>
        <w:t xml:space="preserve">Active learning, in which students work through tasks themselves during class,</w:t>
      </w:r>
      <w:r>
        <w:t xml:space="preserve"> </w:t>
      </w:r>
      <w:r>
        <w:t xml:space="preserve">improves exam performance over lecture alone</w:t>
      </w:r>
      <w:r>
        <w:t xml:space="preserve"> </w:t>
      </w:r>
      <w:r>
        <w:t xml:space="preserve">(Freeman et al. 2014)</w:t>
      </w:r>
      <w:r>
        <w:t xml:space="preserve">.</w:t>
      </w:r>
      <w:r>
        <w:t xml:space="preserve"> </w:t>
      </w:r>
      <w:r>
        <w:t xml:space="preserve">The exercise-first structure is this guide’s own convention</w:t>
      </w:r>
      <w:r>
        <w:t xml:space="preserve"> </w:t>
      </w:r>
      <w:r>
        <w:t xml:space="preserve">for putting that result into practice.</w:t>
      </w:r>
      <w:r>
        <w:t xml:space="preserve"> </w:t>
      </w:r>
      <w:r>
        <w:t xml:space="preserve">Pose each task as an exercise, give students time to try it, and then show the solution.</w:t>
      </w:r>
    </w:p>
    <w:p>
      <w:pPr>
        <w:pStyle w:val="Compact"/>
        <w:numPr>
          <w:ilvl w:val="0"/>
          <w:numId w:val="1001"/>
        </w:numPr>
      </w:pPr>
      <w:r>
        <w:t xml:space="preserve">Pose every data manipulation or analysis as an exercise,</w:t>
      </w:r>
      <w:r>
        <w:t xml:space="preserve"> </w:t>
      </w:r>
      <w:r>
        <w:t xml:space="preserve">and show the code in the solution.</w:t>
      </w:r>
      <w:r>
        <w:t xml:space="preserve"> </w:t>
      </w:r>
      <w:r>
        <w:t xml:space="preserve">Do not show the code first and explain it afterwards.</w:t>
      </w:r>
    </w:p>
    <w:p>
      <w:pPr>
        <w:pStyle w:val="Compact"/>
        <w:numPr>
          <w:ilvl w:val="0"/>
          <w:numId w:val="1001"/>
        </w:numPr>
      </w:pPr>
      <w:r>
        <w:t xml:space="preserve">Pose every calculation, derivation, or proof as an exercise,</w:t>
      </w:r>
      <w:r>
        <w:t xml:space="preserve"> </w:t>
      </w:r>
      <w:r>
        <w:t xml:space="preserve">and put the worked steps in the solution.</w:t>
      </w:r>
    </w:p>
    <w:p>
      <w:pPr>
        <w:pStyle w:val="Compact"/>
        <w:numPr>
          <w:ilvl w:val="0"/>
          <w:numId w:val="1001"/>
        </w:numPr>
      </w:pPr>
      <w:r>
        <w:t xml:space="preserve">Ask the question that a definition or theorem answers before stating it.</w:t>
      </w:r>
      <w:r>
        <w:t xml:space="preserve"> </w:t>
      </w:r>
      <w:r>
        <w:t xml:space="preserve">The solution answers informally, in plain words,</w:t>
      </w:r>
      <w:r>
        <w:t xml:space="preserve"> </w:t>
      </w:r>
      <w:r>
        <w:t xml:space="preserve">and the formal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#thm-</w:t>
      </w:r>
      <w:r>
        <w:t xml:space="preserve"> </w:t>
      </w:r>
      <w:r>
        <w:t xml:space="preserve">div follows the solution div.</w:t>
      </w:r>
    </w:p>
    <w:p>
      <w:pPr>
        <w:pStyle w:val="Compact"/>
        <w:numPr>
          <w:ilvl w:val="0"/>
          <w:numId w:val="1001"/>
        </w:numPr>
      </w:pPr>
      <w:r>
        <w:t xml:space="preserve">Give each bottom-level prompt its own</w:t>
      </w:r>
      <w:r>
        <w:t xml:space="preserve"> </w:t>
      </w:r>
      <w:r>
        <w:rPr>
          <w:rStyle w:val="VerbatimChar"/>
        </w:rPr>
        <w:t xml:space="preserve">#exr-</w:t>
      </w:r>
      <w:r>
        <w:t xml:space="preserve"> </w:t>
      </w:r>
      <w:r>
        <w:t xml:space="preserve">div and its own</w:t>
      </w:r>
      <w:r>
        <w:t xml:space="preserve"> </w:t>
      </w:r>
      <w:r>
        <w:rPr>
          <w:rStyle w:val="VerbatimChar"/>
        </w:rPr>
        <w:t xml:space="preserve">#sol-</w:t>
      </w:r>
      <w:r>
        <w:t xml:space="preserve"> </w:t>
      </w:r>
      <w:r>
        <w:t xml:space="preserve">div,</w:t>
      </w:r>
      <w:r>
        <w:t xml:space="preserve"> </w:t>
      </w:r>
      <w:r>
        <w:t xml:space="preserve">in order, rather than one exercise with parts (a) through (e).</w:t>
      </w:r>
      <w:r>
        <w:t xml:space="preserve"> </w:t>
      </w:r>
      <w:r>
        <w:t xml:space="preserve">Later exercises can use earlier results through cross-references.</w:t>
      </w:r>
    </w:p>
    <w:p>
      <w:pPr>
        <w:pStyle w:val="Compact"/>
        <w:numPr>
          <w:ilvl w:val="0"/>
          <w:numId w:val="1001"/>
        </w:numPr>
      </w:pPr>
      <w:r>
        <w:t xml:space="preserve">On slides, put a slide break between an exercise and its solution,</w:t>
      </w:r>
      <w:r>
        <w:t xml:space="preserve"> </w:t>
      </w:r>
      <w:r>
        <w:t xml:space="preserve">so the prompt is on screen alone while students work.</w:t>
      </w:r>
    </w:p>
    <w:p>
      <w:pPr>
        <w:pStyle w:val="Compact"/>
        <w:numPr>
          <w:ilvl w:val="0"/>
          <w:numId w:val="1001"/>
        </w:numPr>
      </w:pPr>
      <w:r>
        <w:t xml:space="preserve">Give each solution the slug of its exercise, with</w:t>
      </w:r>
      <w:r>
        <w:t xml:space="preserve"> </w:t>
      </w:r>
      <w:r>
        <w:rPr>
          <w:rStyle w:val="VerbatimChar"/>
        </w:rPr>
        <w:t xml:space="preserve">sol-</w:t>
      </w:r>
      <w:r>
        <w:t xml:space="preserve"> </w:t>
      </w:r>
      <w:r>
        <w:t xml:space="preserve">in place of</w:t>
      </w:r>
      <w:r>
        <w:t xml:space="preserve"> </w:t>
      </w:r>
      <w:r>
        <w:rPr>
          <w:rStyle w:val="VerbatimChar"/>
        </w:rPr>
        <w:t xml:space="preserve">exr-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Put a hint in a callout titled</w:t>
      </w:r>
      <w:r>
        <w:t xml:space="preserve"> </w:t>
      </w:r>
      <w:r>
        <w:t xml:space="preserve">“Hint”</w:t>
      </w:r>
      <w:r>
        <w:t xml:space="preserve"> </w:t>
      </w:r>
      <w:r>
        <w:t xml:space="preserve">inside the exercise div,</w:t>
      </w:r>
      <w:r>
        <w:t xml:space="preserve"> </w:t>
      </w:r>
      <w:r>
        <w:t xml:space="preserve">not in italic text.</w:t>
      </w:r>
    </w:p>
    <w:bookmarkStart w:id="12" w:name="exm-exercise-before-definition"/>
    <w:p>
      <w:pPr>
        <w:pStyle w:val="FirstParagraph"/>
      </w:pPr>
      <w:r>
        <w:rPr>
          <w:b/>
          <w:bCs/>
        </w:rPr>
        <w:t xml:space="preserve">Example 1 (Asking before defining)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</w:t>
      </w:r>
      <w:r>
        <w:t xml:space="preserve"> </w:t>
      </w:r>
      <w:r>
        <w:rPr>
          <w:b/>
          <w:bCs/>
        </w:rPr>
        <w:t xml:space="preserve">Generalization</w:t>
      </w:r>
      <w:r>
        <w:t xml:space="preserve"> </w:t>
      </w:r>
      <w:r>
        <w:t xml:space="preserve">is the ability of a model to perform well on new data.</w:t>
      </w:r>
    </w:p>
    <w:p>
      <w:pPr>
        <w:pStyle w:val="BlockText"/>
      </w:pPr>
      <w:r>
        <w:t xml:space="preserve">✅</w:t>
      </w:r>
    </w:p>
    <w:p>
      <w:pPr>
        <w:pStyle w:val="SourceCode"/>
      </w:pPr>
      <w:r>
        <w:rPr>
          <w:rStyle w:val="NormalTok"/>
        </w:rPr>
        <w:t xml:space="preserve">::: {#exr-generalization}</w:t>
      </w:r>
      <w:r>
        <w:br/>
      </w:r>
      <w:r>
        <w:rPr>
          <w:rStyle w:val="NormalTok"/>
        </w:rPr>
        <w:t xml:space="preserve">What does it mean for a model to generalize?</w:t>
      </w:r>
      <w:r>
        <w:br/>
      </w:r>
      <w:r>
        <w:rPr>
          <w:rStyle w:val="NormalTok"/>
        </w:rPr>
        <w:t xml:space="preserve">:::</w:t>
      </w:r>
      <w:r>
        <w:br/>
      </w:r>
      <w:r>
        <w:br/>
      </w:r>
      <w:r>
        <w:rPr>
          <w:rStyle w:val="NormalTok"/>
        </w:rPr>
        <w:t xml:space="preserve">::: {#sol-generalization}</w:t>
      </w:r>
      <w:r>
        <w:br/>
      </w:r>
      <w:r>
        <w:rPr>
          <w:rStyle w:val="NormalTok"/>
        </w:rPr>
        <w:t xml:space="preserve">A model generalizes when it predicts well on data it was not fit to.</w:t>
      </w:r>
      <w:r>
        <w:br/>
      </w:r>
      <w:r>
        <w:rPr>
          <w:rStyle w:val="NormalTok"/>
        </w:rPr>
        <w:t xml:space="preserve">:::</w:t>
      </w:r>
      <w:r>
        <w:br/>
      </w:r>
      <w:r>
        <w:br/>
      </w:r>
      <w:r>
        <w:rPr>
          <w:rStyle w:val="NormalTok"/>
        </w:rPr>
        <w:t xml:space="preserve">::: {#def-generalization}</w:t>
      </w:r>
      <w:r>
        <w:br/>
      </w:r>
      <w:r>
        <w:rPr>
          <w:rStyle w:val="NormalTok"/>
        </w:rPr>
        <w:t xml:space="preserve">(the formal definition)</w:t>
      </w:r>
      <w:r>
        <w:br/>
      </w:r>
      <w:r>
        <w:rPr>
          <w:rStyle w:val="NormalTok"/>
        </w:rPr>
        <w:t xml:space="preserve">:::</w:t>
      </w:r>
    </w:p>
    <w:p>
      <w:pPr>
        <w:pStyle w:val="FirstParagraph"/>
      </w:pPr>
      <w:r>
        <w:t xml:space="preserve">The revised version lets students attempt the idea</w:t>
      </w:r>
      <w:r>
        <w:t xml:space="preserve"> </w:t>
      </w:r>
      <w:r>
        <w:t xml:space="preserve">before they see the formal definition.</w:t>
      </w:r>
    </w:p>
    <w:bookmarkEnd w:id="12"/>
    <w:bookmarkEnd w:id="13"/>
    <w:bookmarkStart w:id="15" w:name="give-each-defined-term-its-own-div"/>
    <w:p>
      <w:pPr>
        <w:pStyle w:val="Heading2"/>
      </w:pPr>
      <w:r>
        <w:t xml:space="preserve">2 Give each defined term its own div</w:t>
      </w:r>
    </w:p>
    <w:p>
      <w:pPr>
        <w:pStyle w:val="FirstParagraph"/>
      </w:pPr>
      <w:hyperlink r:id="rId14">
        <w:r>
          <w:rPr>
            <w:rStyle w:val="Hyperlink"/>
          </w:rPr>
          <w:t xml:space="preserve">Defining terms clearly</w:t>
        </w:r>
      </w:hyperlink>
      <w:r>
        <w:t xml:space="preserve"> </w:t>
      </w:r>
      <w:r>
        <w:t xml:space="preserve">covers what a good definition contains.</w:t>
      </w:r>
      <w:r>
        <w:t xml:space="preserve"> </w:t>
      </w:r>
      <w:r>
        <w:t xml:space="preserve">For teaching materials, three further rules keep definitions findable.</w:t>
      </w:r>
    </w:p>
    <w:p>
      <w:pPr>
        <w:pStyle w:val="Compact"/>
        <w:numPr>
          <w:ilvl w:val="0"/>
          <w:numId w:val="1002"/>
        </w:numPr>
      </w:pPr>
      <w:r>
        <w:t xml:space="preserve">Replace a bolded keyword in running prose with a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 </w:t>
      </w:r>
      <w:r>
        <w:t xml:space="preserve">div.</w:t>
      </w:r>
      <w:r>
        <w:t xml:space="preserve"> </w:t>
      </w:r>
      <w:r>
        <w:t xml:space="preserve">A bolded keyword usually marks an inline definition.</w:t>
      </w:r>
    </w:p>
    <w:p>
      <w:pPr>
        <w:pStyle w:val="Compact"/>
        <w:numPr>
          <w:ilvl w:val="0"/>
          <w:numId w:val="1002"/>
        </w:numPr>
      </w:pPr>
      <w:r>
        <w:t xml:space="preserve">Define one term per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 </w:t>
      </w:r>
      <w:r>
        <w:t xml:space="preserve">div.</w:t>
      </w:r>
      <w:r>
        <w:t xml:space="preserve"> </w:t>
      </w:r>
      <w:r>
        <w:t xml:space="preserve">A term defined inside another term’s div, or two terms joined in one title</w:t>
      </w:r>
      <w:r>
        <w:t xml:space="preserve"> </w:t>
      </w:r>
      <w:r>
        <w:t xml:space="preserve">(</w:t>
      </w:r>
      <w:r>
        <w:t xml:space="preserve">“Regression and classification”</w:t>
      </w:r>
      <w:r>
        <w:t xml:space="preserve">), has no identifier of its own,</w:t>
      </w:r>
      <w:r>
        <w:t xml:space="preserve"> </w:t>
      </w:r>
      <w:r>
        <w:t xml:space="preserve">so nothing can link to it.</w:t>
      </w:r>
    </w:p>
    <w:p>
      <w:pPr>
        <w:pStyle w:val="Compact"/>
        <w:numPr>
          <w:ilvl w:val="0"/>
          <w:numId w:val="1002"/>
        </w:numPr>
      </w:pPr>
      <w:r>
        <w:t xml:space="preserve">Never nest one theorem-type div inside another.</w:t>
      </w:r>
      <w:r>
        <w:t xml:space="preserve"> </w:t>
      </w:r>
      <w:r>
        <w:t xml:space="preserve">The rule covers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,</w:t>
      </w:r>
      <w:r>
        <w:t xml:space="preserve"> </w:t>
      </w:r>
      <w:r>
        <w:rPr>
          <w:rStyle w:val="VerbatimChar"/>
        </w:rPr>
        <w:t xml:space="preserve">#thm-</w:t>
      </w:r>
      <w:r>
        <w:t xml:space="preserve">,</w:t>
      </w:r>
      <w:r>
        <w:t xml:space="preserve"> </w:t>
      </w:r>
      <w:r>
        <w:rPr>
          <w:rStyle w:val="VerbatimChar"/>
        </w:rPr>
        <w:t xml:space="preserve">#lem-</w:t>
      </w:r>
      <w:r>
        <w:t xml:space="preserve">,</w:t>
      </w:r>
      <w:r>
        <w:t xml:space="preserve"> </w:t>
      </w:r>
      <w:r>
        <w:rPr>
          <w:rStyle w:val="VerbatimChar"/>
        </w:rPr>
        <w:t xml:space="preserve">#cor-</w:t>
      </w:r>
      <w:r>
        <w:t xml:space="preserve">,</w:t>
      </w:r>
      <w:r>
        <w:t xml:space="preserve"> </w:t>
      </w:r>
      <w:r>
        <w:rPr>
          <w:rStyle w:val="VerbatimChar"/>
        </w:rPr>
        <w:t xml:space="preserve">#prp-</w:t>
      </w:r>
      <w:r>
        <w:t xml:space="preserve">,</w:t>
      </w:r>
      <w:r>
        <w:t xml:space="preserve"> </w:t>
      </w:r>
      <w:r>
        <w:rPr>
          <w:rStyle w:val="VerbatimChar"/>
        </w:rPr>
        <w:t xml:space="preserve">#cnj-</w:t>
      </w:r>
      <w:r>
        <w:t xml:space="preserve">,</w:t>
      </w:r>
      <w:r>
        <w:t xml:space="preserve"> </w:t>
      </w:r>
      <w:r>
        <w:rPr>
          <w:rStyle w:val="VerbatimChar"/>
        </w:rPr>
        <w:t xml:space="preserve">#exm-</w:t>
      </w:r>
      <w:r>
        <w:t xml:space="preserve">,</w:t>
      </w:r>
      <w:r>
        <w:t xml:space="preserve"> </w:t>
      </w:r>
      <w:r>
        <w:rPr>
          <w:rStyle w:val="VerbatimChar"/>
        </w:rPr>
        <w:t xml:space="preserve">#rem-</w:t>
      </w:r>
      <w:r>
        <w:t xml:space="preserve">,</w:t>
      </w:r>
      <w:r>
        <w:t xml:space="preserve"> </w:t>
      </w:r>
      <w:r>
        <w:rPr>
          <w:rStyle w:val="VerbatimChar"/>
        </w:rPr>
        <w:t xml:space="preserve">#exr-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#sol-</w:t>
      </w:r>
      <w:r>
        <w:t xml:space="preserve">.</w:t>
      </w:r>
      <w:r>
        <w:t xml:space="preserve"> </w:t>
      </w:r>
      <w:r>
        <w:t xml:space="preserve">A special case, such as a linear evaluation function,</w:t>
      </w:r>
      <w:r>
        <w:t xml:space="preserve"> </w:t>
      </w:r>
      <w:r>
        <w:t xml:space="preserve">gets its own div after the general case, and the two link to each other.</w:t>
      </w:r>
    </w:p>
    <w:p>
      <w:pPr>
        <w:pStyle w:val="FirstParagraph"/>
      </w:pPr>
      <w:r>
        <w:t xml:space="preserve">An alternative name for the same concept stays in the div of the term it names,</w:t>
      </w:r>
      <w:r>
        <w:t xml:space="preserve"> </w:t>
      </w:r>
      <w:r>
        <w:t xml:space="preserve">in italics.</w:t>
      </w:r>
      <w:r>
        <w:t xml:space="preserve"> </w:t>
      </w:r>
      <w:r>
        <w:t xml:space="preserve">Name synonyms and near-synonyms where the term is defined,</w:t>
      </w:r>
      <w:r>
        <w:t xml:space="preserve"> </w:t>
      </w:r>
      <w:r>
        <w:t xml:space="preserve">and say which one the notes use.</w:t>
      </w:r>
      <w:r>
        <w:t xml:space="preserve"> </w:t>
      </w:r>
      <w:r>
        <w:t xml:space="preserve">A student who meets one name here and another in a textbook</w:t>
      </w:r>
      <w:r>
        <w:t xml:space="preserve"> </w:t>
      </w:r>
      <w:r>
        <w:t xml:space="preserve">cannot tell whether the difference matters.</w:t>
      </w:r>
      <w:r>
        <w:t xml:space="preserve"> </w:t>
      </w:r>
      <w:r>
        <w:t xml:space="preserve">For a near-synonym, name the seam:</w:t>
      </w:r>
      <w:r>
        <w:t xml:space="preserve"> </w:t>
      </w:r>
      <w:r>
        <w:t xml:space="preserve">critical points include the stationary points</w:t>
      </w:r>
      <w:r>
        <w:t xml:space="preserve"> </w:t>
      </w:r>
      <w:r>
        <w:t xml:space="preserve">and also the points where the derivative does not exist.</w:t>
      </w:r>
    </w:p>
    <w:bookmarkEnd w:id="15"/>
    <w:bookmarkStart w:id="16" w:name="state-the-notation-and-its-alternatives"/>
    <w:p>
      <w:pPr>
        <w:pStyle w:val="Heading2"/>
      </w:pPr>
      <w:r>
        <w:t xml:space="preserve">3 State the notation and its alternatives</w:t>
      </w:r>
    </w:p>
    <w:p>
      <w:pPr>
        <w:pStyle w:val="FirstParagraph"/>
      </w:pPr>
      <w:r>
        <w:t xml:space="preserve">When a symbol or convention has more than one common form,</w:t>
      </w:r>
      <w:r>
        <w:t xml:space="preserve"> </w:t>
      </w:r>
      <w:r>
        <w:t xml:space="preserve">state the one the notes use and name the others a reader will meet elsewhere.</w:t>
      </w:r>
      <w:r>
        <w:t xml:space="preserve"> </w:t>
      </w:r>
      <w:r>
        <w:t xml:space="preserve">Put the alternatives in the definition div or in a callout beside it.</w:t>
      </w:r>
      <w:r>
        <w:t xml:space="preserve"> </w:t>
      </w:r>
      <w:r>
        <w:t xml:space="preserve">For example, some sources include 0 in the natural numbers and others exclude it,</w:t>
      </w:r>
      <w:r>
        <w:t xml:space="preserve"> </w:t>
      </w:r>
      <w:r>
        <w:t xml:space="preserve">so write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N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or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N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 </w:t>
      </w:r>
      <w:r>
        <w:t xml:space="preserve">to make the choice explicit.</w:t>
      </w:r>
    </w:p>
    <w:bookmarkEnd w:id="16"/>
    <w:bookmarkStart w:id="17" w:name="Xac7e4ead54b12ccf6544491699a177b7d16fa22"/>
    <w:p>
      <w:pPr>
        <w:pStyle w:val="Heading2"/>
      </w:pPr>
      <w:r>
        <w:t xml:space="preserve">4 Lead with the simplest correct form of a definition</w:t>
      </w:r>
    </w:p>
    <w:p>
      <w:pPr>
        <w:pStyle w:val="FirstParagraph"/>
      </w:pPr>
      <w:r>
        <w:t xml:space="preserve">Define a quantity in the form that needs the fewest symbols,</w:t>
      </w:r>
      <w:r>
        <w:t xml:space="preserve"> </w:t>
      </w:r>
      <w:r>
        <w:t xml:space="preserve">and state the textbook form as a theorem that follows.</w:t>
      </w:r>
      <w:r>
        <w:t xml:space="preserve"> </w:t>
      </w:r>
      <w:r>
        <w:t xml:space="preserve">For example, define variance as the mean squared deviation</w:t>
      </w:r>
      <w:r>
        <w:t xml:space="preserve"> </w:t>
      </w:r>
      <m:oMath>
        <m:r>
          <m:rPr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devn</m:t>
            </m:r>
            <m:r>
              <m:rPr>
                <m:sty m:val="p"/>
              </m:rPr>
              <m:t>(</m:t>
            </m:r>
            <m:r>
              <m:t>X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e>
        </m:d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rPr>
            <m:sty m:val="p"/>
          </m:rPr>
          <m:t>devn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−</m:t>
        </m:r>
        <m:r>
          <m:rPr>
            <m:sty m:val="p"/>
          </m:rPr>
          <m:t>E</m:t>
        </m:r>
        <m:r>
          <m:rPr>
            <m:sty m:val="p"/>
          </m:rPr>
          <m:t>[</m:t>
        </m:r>
        <m:r>
          <m:t>X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and then prove that it equals</w:t>
      </w:r>
      <w:r>
        <w:t xml:space="preserve"> </w:t>
      </w:r>
      <m:oMath>
        <m:r>
          <m:rPr>
            <m:sty m:val="p"/>
          </m:rPr>
          <m:t>E</m:t>
        </m:r>
        <m:r>
          <m:rPr>
            <m:sty m:val="p"/>
          </m:rPr>
          <m:t>[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]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rPr>
            <m:sty m:val="p"/>
          </m:rPr>
          <m:t>E</m:t>
        </m:r>
        <m:r>
          <m:rPr>
            <m:sty m:val="p"/>
          </m:rPr>
          <m:t>[</m:t>
        </m:r>
        <m:r>
          <m:t>X</m:t>
        </m:r>
        <m:r>
          <m:rPr>
            <m:sty m:val="p"/>
          </m:rPr>
          <m:t>]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Parsimony outranks convention when choosing a primary definition.</w:t>
      </w:r>
      <w:r>
        <w:t xml:space="preserve"> </w:t>
      </w:r>
      <w:r>
        <w:t xml:space="preserve">The conventional form still appears in the notes, as a named result.</w:t>
      </w:r>
    </w:p>
    <w:bookmarkEnd w:id="17"/>
    <w:bookmarkStart w:id="18" w:name="reuse-one-written-version-of-each-result"/>
    <w:p>
      <w:pPr>
        <w:pStyle w:val="Heading2"/>
      </w:pPr>
      <w:r>
        <w:t xml:space="preserve">5 Reuse one written version of each result</w:t>
      </w:r>
    </w:p>
    <w:p>
      <w:pPr>
        <w:pStyle w:val="FirstParagraph"/>
      </w:pPr>
      <w:r>
        <w:t xml:space="preserve">When several courses or repositories have already written the same definition, theorem, or exercise,</w:t>
      </w:r>
      <w:r>
        <w:t xml:space="preserve"> </w:t>
      </w:r>
      <w:r>
        <w:t xml:space="preserve">compare the versions on notation, decomposition, parsimony, and clarity.</w:t>
      </w:r>
      <w:r>
        <w:t xml:space="preserve"> </w:t>
      </w:r>
      <w:r>
        <w:t xml:space="preserve">Use the best one, or merge them, and make it the single copy.</w:t>
      </w:r>
      <w:r>
        <w:t xml:space="preserve"> </w:t>
      </w:r>
      <w:r>
        <w:t xml:space="preserve">Other places include or link to that copy</w:t>
      </w:r>
      <w:r>
        <w:t xml:space="preserve"> </w:t>
      </w:r>
      <w:r>
        <w:t xml:space="preserve">instead of keeping a second wording that can drift.</w:t>
      </w:r>
    </w:p>
    <w:bookmarkEnd w:id="18"/>
    <w:bookmarkStart w:id="19" w:name="use-real-data-and-compute-every-number"/>
    <w:p>
      <w:pPr>
        <w:pStyle w:val="Heading2"/>
      </w:pPr>
      <w:r>
        <w:t xml:space="preserve">6 Use real data and compute every number</w:t>
      </w:r>
    </w:p>
    <w:p>
      <w:pPr>
        <w:pStyle w:val="Compact"/>
        <w:numPr>
          <w:ilvl w:val="0"/>
          <w:numId w:val="1003"/>
        </w:numPr>
      </w:pPr>
      <w:r>
        <w:t xml:space="preserve">Where an example needs data, use a real dataset</w:t>
      </w:r>
      <w:r>
        <w:t xml:space="preserve"> </w:t>
      </w:r>
      <w:r>
        <w:t xml:space="preserve">instead of invented round numbers.</w:t>
      </w:r>
      <w:r>
        <w:t xml:space="preserve"> </w:t>
      </w:r>
      <w:r>
        <w:t xml:space="preserve">Name its original source, link to where it is published, and cite it.</w:t>
      </w:r>
    </w:p>
    <w:p>
      <w:pPr>
        <w:pStyle w:val="Compact"/>
        <w:numPr>
          <w:ilvl w:val="0"/>
          <w:numId w:val="1003"/>
        </w:numPr>
      </w:pPr>
      <w:r>
        <w:t xml:space="preserve">Show a dataset before analyzing it,</w:t>
      </w:r>
      <w:r>
        <w:t xml:space="preserve"> </w:t>
      </w:r>
      <w:r>
        <w:t xml:space="preserve">with a printed look at its first rows and its structure.</w:t>
      </w:r>
    </w:p>
    <w:p>
      <w:pPr>
        <w:pStyle w:val="Compact"/>
        <w:numPr>
          <w:ilvl w:val="0"/>
          <w:numId w:val="1003"/>
        </w:numPr>
      </w:pPr>
      <w:r>
        <w:t xml:space="preserve">Never type or paste output.</w:t>
      </w:r>
      <w:r>
        <w:t xml:space="preserve"> </w:t>
      </w:r>
      <w:r>
        <w:t xml:space="preserve">The page shows what the code printed when the page was rendered,</w:t>
      </w:r>
      <w:r>
        <w:t xml:space="preserve"> </w:t>
      </w:r>
      <w:r>
        <w:t xml:space="preserve">and each number in the prose comes from inline code.</w:t>
      </w:r>
      <w:r>
        <w:t xml:space="preserve"> </w:t>
      </w:r>
      <w:r>
        <w:t xml:space="preserve">A number typed into prose goes stale when the data or the code changes.</w:t>
      </w:r>
    </w:p>
    <w:bookmarkEnd w:id="19"/>
    <w:bookmarkStart w:id="22" w:name="show-each-idea-applied-and-in-a-figure"/>
    <w:p>
      <w:pPr>
        <w:pStyle w:val="Heading2"/>
      </w:pPr>
      <w:r>
        <w:t xml:space="preserve">7 Show each idea applied and in a figure</w:t>
      </w:r>
    </w:p>
    <w:p>
      <w:pPr>
        <w:pStyle w:val="Compact"/>
        <w:numPr>
          <w:ilvl w:val="0"/>
          <w:numId w:val="1004"/>
        </w:numPr>
      </w:pPr>
      <w:r>
        <w:t xml:space="preserve">Give every definition, method and result at least one applied example</w:t>
      </w:r>
      <w:r>
        <w:t xml:space="preserve"> </w:t>
      </w:r>
      <w:r>
        <w:t xml:space="preserve">that computes it on real data,</w:t>
      </w:r>
      <w:r>
        <w:t xml:space="preserve"> </w:t>
      </w:r>
      <w:r>
        <w:t xml:space="preserve">so the reader sees what the idea does before or beside the algebra.</w:t>
      </w:r>
    </w:p>
    <w:p>
      <w:pPr>
        <w:pStyle w:val="Compact"/>
        <w:numPr>
          <w:ilvl w:val="0"/>
          <w:numId w:val="1004"/>
        </w:numPr>
      </w:pPr>
      <w:r>
        <w:t xml:space="preserve">Follow every abstract div directly with a concrete</w:t>
      </w:r>
      <w:r>
        <w:t xml:space="preserve"> </w:t>
      </w:r>
      <w:r>
        <w:rPr>
          <w:rStyle w:val="VerbatimChar"/>
        </w:rPr>
        <w:t xml:space="preserve">#exm-</w:t>
      </w:r>
      <w:r>
        <w:t xml:space="preserve"> </w:t>
      </w:r>
      <w:r>
        <w:t xml:space="preserve">div.</w:t>
      </w:r>
      <w:r>
        <w:t xml:space="preserve"> </w:t>
      </w:r>
      <w:r>
        <w:t xml:space="preserve">The rule covers each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,</w:t>
      </w:r>
      <w:r>
        <w:t xml:space="preserve"> </w:t>
      </w:r>
      <w:r>
        <w:rPr>
          <w:rStyle w:val="VerbatimChar"/>
        </w:rPr>
        <w:t xml:space="preserve">#thm-</w:t>
      </w:r>
      <w:r>
        <w:t xml:space="preserve">,</w:t>
      </w:r>
      <w:r>
        <w:t xml:space="preserve"> </w:t>
      </w:r>
      <w:r>
        <w:rPr>
          <w:rStyle w:val="VerbatimChar"/>
        </w:rPr>
        <w:t xml:space="preserve">#lem-</w:t>
      </w:r>
      <w:r>
        <w:t xml:space="preserve">,</w:t>
      </w:r>
      <w:r>
        <w:t xml:space="preserve"> </w:t>
      </w:r>
      <w:r>
        <w:rPr>
          <w:rStyle w:val="VerbatimChar"/>
        </w:rPr>
        <w:t xml:space="preserve">#cor-</w:t>
      </w:r>
      <w:r>
        <w:t xml:space="preserve"> </w:t>
      </w:r>
      <w:r>
        <w:t xml:space="preserve">and similar div.</w:t>
      </w:r>
      <w:r>
        <w:t xml:space="preserve"> </w:t>
      </w:r>
      <w:r>
        <w:t xml:space="preserve">The example of a related result does not exempt a definition:</w:t>
      </w:r>
      <w:r>
        <w:t xml:space="preserve"> </w:t>
      </w:r>
      <w:r>
        <w:t xml:space="preserve">a theorem that uses a definition gets its own example,</w:t>
      </w:r>
      <w:r>
        <w:t xml:space="preserve"> </w:t>
      </w:r>
      <w:r>
        <w:t xml:space="preserve">and so does the definition.</w:t>
      </w:r>
      <w:r>
        <w:t xml:space="preserve"> </w:t>
      </w:r>
      <w:r>
        <w:t xml:space="preserve">The</w:t>
      </w:r>
      <w:r>
        <w:t xml:space="preserve"> </w:t>
      </w:r>
      <w:hyperlink r:id="rId20">
        <w:r>
          <w:rPr>
            <w:rStyle w:val="Hyperlink"/>
          </w:rPr>
          <w:t xml:space="preserve">ai-config rule</w:t>
        </w:r>
      </w:hyperlink>
      <w:r>
        <w:t xml:space="preserve"> </w:t>
      </w:r>
      <w:r>
        <w:t xml:space="preserve">links here.</w:t>
      </w:r>
    </w:p>
    <w:p>
      <w:pPr>
        <w:pStyle w:val="Compact"/>
        <w:numPr>
          <w:ilvl w:val="0"/>
          <w:numId w:val="1004"/>
        </w:numPr>
      </w:pPr>
      <w:r>
        <w:t xml:space="preserve">Give every topic at least one figure that shows the idea,</w:t>
      </w:r>
      <w:r>
        <w:t xml:space="preserve"> </w:t>
      </w:r>
      <w:r>
        <w:t xml:space="preserve">such as the data with a fitted curve, a distribution, or a diagram of the procedure.</w:t>
      </w:r>
      <w:r>
        <w:t xml:space="preserve"> </w:t>
      </w:r>
      <w:r>
        <w:t xml:space="preserve">A page of definitions with no figure and no data is incomplete.</w:t>
      </w:r>
    </w:p>
    <w:p>
      <w:pPr>
        <w:pStyle w:val="Compact"/>
        <w:numPr>
          <w:ilvl w:val="0"/>
          <w:numId w:val="1004"/>
        </w:numPr>
      </w:pPr>
      <w:r>
        <w:t xml:space="preserve">Prerequisite notes follow the same rule as course lectures.</w:t>
      </w:r>
      <w:r>
        <w:t xml:space="preserve"> </w:t>
      </w:r>
      <w:r>
        <w:t xml:space="preserve">A prerequisite page that is only definitions and algebra needs an applied example and a figure.</w:t>
      </w:r>
    </w:p>
    <w:p>
      <w:pPr>
        <w:pStyle w:val="Compact"/>
        <w:numPr>
          <w:ilvl w:val="0"/>
          <w:numId w:val="1004"/>
        </w:numPr>
      </w:pPr>
      <w:r>
        <w:t xml:space="preserve">Place each figure directly after the sentence that first refers to it.</w:t>
      </w:r>
      <w:r>
        <w:t xml:space="preserve"> </w:t>
      </w:r>
      <w:r>
        <w:t xml:space="preserve">Do not refer to a figure, table, or result that appears later in the document,</w:t>
      </w:r>
      <w:r>
        <w:t xml:space="preserve"> </w:t>
      </w:r>
      <w:r>
        <w:t xml:space="preserve">because the reader meets the reference before the thing it points to.</w:t>
      </w:r>
      <w:r>
        <w:t xml:space="preserve"> </w:t>
      </w:r>
      <w:r>
        <w:t xml:space="preserve">This rule is for teaching materials, which are reading copies.</w:t>
      </w:r>
      <w:r>
        <w:t xml:space="preserve"> </w:t>
      </w:r>
      <w:r>
        <w:t xml:space="preserve">A journal submission may collect its figures at the end,</w:t>
      </w:r>
      <w:r>
        <w:t xml:space="preserve"> </w:t>
      </w:r>
      <w:r>
        <w:t xml:space="preserve">as</w:t>
      </w:r>
      <w:r>
        <w:t xml:space="preserve"> </w:t>
      </w:r>
      <w:hyperlink r:id="rId21">
        <w:r>
          <w:rPr>
            <w:rStyle w:val="Hyperlink"/>
          </w:rPr>
          <w:t xml:space="preserve">Figures and tables</w:t>
        </w:r>
      </w:hyperlink>
      <w:r>
        <w:t xml:space="preserve"> </w:t>
      </w:r>
      <w:r>
        <w:t xml:space="preserve">describes.</w:t>
      </w:r>
    </w:p>
    <w:p>
      <w:pPr>
        <w:pStyle w:val="Compact"/>
        <w:numPr>
          <w:ilvl w:val="0"/>
          <w:numId w:val="1004"/>
        </w:numPr>
      </w:pPr>
      <w:r>
        <w:t xml:space="preserve">Make each figure follow the accessibility rules below.</w:t>
      </w:r>
    </w:p>
    <w:bookmarkEnd w:id="22"/>
    <w:bookmarkStart w:id="23" w:name="Xf27331f4c36c8d578e5fa29a37312484cc3343a"/>
    <w:p>
      <w:pPr>
        <w:pStyle w:val="Heading2"/>
      </w:pPr>
      <w:r>
        <w:t xml:space="preserve">8 Write labs for both languages and any computer</w:t>
      </w:r>
    </w:p>
    <w:p>
      <w:pPr>
        <w:pStyle w:val="FirstParagraph"/>
      </w:pPr>
      <w:r>
        <w:t xml:space="preserve">These rules apply to all teaching materials,</w:t>
      </w:r>
      <w:r>
        <w:t xml:space="preserve"> </w:t>
      </w:r>
      <w:r>
        <w:t xml:space="preserve">in every course and every teaching repository, not only to one course.</w:t>
      </w:r>
    </w:p>
    <w:p>
      <w:pPr>
        <w:pStyle w:val="Compact"/>
        <w:numPr>
          <w:ilvl w:val="0"/>
          <w:numId w:val="1005"/>
        </w:numPr>
      </w:pPr>
      <w:r>
        <w:t xml:space="preserve">Give labs and code exercises in both R and Python, side by side.</w:t>
      </w:r>
    </w:p>
    <w:p>
      <w:pPr>
        <w:pStyle w:val="Compact"/>
        <w:numPr>
          <w:ilvl w:val="0"/>
          <w:numId w:val="1005"/>
        </w:numPr>
      </w:pPr>
      <w:r>
        <w:t xml:space="preserve">Tell students where to get the data.</w:t>
      </w:r>
    </w:p>
    <w:p>
      <w:pPr>
        <w:pStyle w:val="Compact"/>
        <w:numPr>
          <w:ilvl w:val="0"/>
          <w:numId w:val="1005"/>
        </w:numPr>
      </w:pPr>
      <w:r>
        <w:t xml:space="preserve">Do not assume that students own a laptop.</w:t>
      </w:r>
      <w:r>
        <w:t xml:space="preserve"> </w:t>
      </w:r>
      <w:r>
        <w:t xml:space="preserve">Assume only that they can use some computer,</w:t>
      </w:r>
      <w:r>
        <w:t xml:space="preserve"> </w:t>
      </w:r>
      <w:r>
        <w:t xml:space="preserve">so setup steps must work on a shared or hosted machine.</w:t>
      </w:r>
    </w:p>
    <w:bookmarkEnd w:id="23"/>
    <w:bookmarkStart w:id="24" w:name="make-figures-accessible"/>
    <w:p>
      <w:pPr>
        <w:pStyle w:val="Heading2"/>
      </w:pPr>
      <w:r>
        <w:t xml:space="preserve">9 Make figures accessible</w:t>
      </w:r>
    </w:p>
    <w:p>
      <w:pPr>
        <w:pStyle w:val="Compact"/>
        <w:numPr>
          <w:ilvl w:val="0"/>
          <w:numId w:val="1006"/>
        </w:numPr>
      </w:pPr>
      <w:r>
        <w:t xml:space="preserve">Wrap each figure, including an interactive one, in a</w:t>
      </w:r>
      <w:r>
        <w:t xml:space="preserve"> </w:t>
      </w:r>
      <w:r>
        <w:rPr>
          <w:rStyle w:val="VerbatimChar"/>
        </w:rPr>
        <w:t xml:space="preserve">#fig-</w:t>
      </w:r>
      <w:r>
        <w:t xml:space="preserve"> </w:t>
      </w:r>
      <w:r>
        <w:t xml:space="preserve">div with a caption.</w:t>
      </w:r>
    </w:p>
    <w:p>
      <w:pPr>
        <w:pStyle w:val="Compact"/>
        <w:numPr>
          <w:ilvl w:val="0"/>
          <w:numId w:val="1006"/>
        </w:numPr>
      </w:pPr>
      <w:r>
        <w:t xml:space="preserve">Give every plot alt text.</w:t>
      </w:r>
      <w:r>
        <w:t xml:space="preserve"> </w:t>
      </w:r>
      <w:r>
        <w:t xml:space="preserve">For Observable Plot, set</w:t>
      </w:r>
      <w:r>
        <w:t xml:space="preserve"> </w:t>
      </w:r>
      <w:r>
        <w:rPr>
          <w:rStyle w:val="VerbatimChar"/>
        </w:rPr>
        <w:t xml:space="preserve">ariaLabel</w:t>
      </w:r>
      <w:r>
        <w:t xml:space="preserve">.</w:t>
      </w:r>
    </w:p>
    <w:p>
      <w:pPr>
        <w:pStyle w:val="Compact"/>
        <w:numPr>
          <w:ilvl w:val="0"/>
          <w:numId w:val="1006"/>
        </w:numPr>
      </w:pPr>
      <w:r>
        <w:t xml:space="preserve">Show the code that makes each figure, and let readers fold it away.</w:t>
      </w:r>
      <w:r>
        <w:t xml:space="preserve"> </w:t>
      </w:r>
      <w:r>
        <w:t xml:space="preserve">Code folding does nothing for a cell that does not echo its code,</w:t>
      </w:r>
      <w:r>
        <w:t xml:space="preserve"> </w:t>
      </w:r>
      <w:r>
        <w:t xml:space="preserve">so do not set</w:t>
      </w:r>
      <w:r>
        <w:t xml:space="preserve"> </w:t>
      </w:r>
      <w:r>
        <w:rPr>
          <w:rStyle w:val="VerbatimChar"/>
        </w:rPr>
        <w:t xml:space="preserve">echo: false</w:t>
      </w:r>
      <w:r>
        <w:t xml:space="preserve"> </w:t>
      </w:r>
      <w:r>
        <w:t xml:space="preserve">on a cell you want students to read.</w:t>
      </w:r>
    </w:p>
    <w:p>
      <w:pPr>
        <w:pStyle w:val="Compact"/>
        <w:numPr>
          <w:ilvl w:val="0"/>
          <w:numId w:val="1006"/>
        </w:numPr>
      </w:pPr>
      <w:r>
        <w:t xml:space="preserve">Do not cross-reference an interactive figure from prose,</w:t>
      </w:r>
      <w:r>
        <w:t xml:space="preserve"> </w:t>
      </w:r>
      <w:r>
        <w:t xml:space="preserve">because the PDF format renders no figure for it,</w:t>
      </w:r>
      <w:r>
        <w:t xml:space="preserve"> </w:t>
      </w:r>
      <w:r>
        <w:t xml:space="preserve">so the reference has no target there</w:t>
      </w:r>
      <w:r>
        <w:t xml:space="preserve"> </w:t>
      </w:r>
      <w:r>
        <w:t xml:space="preserve">(observed when rendering lecture notes to PDF).</w:t>
      </w:r>
    </w:p>
    <w:bookmarkEnd w:id="24"/>
    <w:bookmarkStart w:id="26" w:name="structure-slides-for-the-reader"/>
    <w:p>
      <w:pPr>
        <w:pStyle w:val="Heading2"/>
      </w:pPr>
      <w:r>
        <w:t xml:space="preserve">10 Structure slides for the reader</w:t>
      </w:r>
    </w:p>
    <w:p>
      <w:pPr>
        <w:pStyle w:val="Compact"/>
        <w:numPr>
          <w:ilvl w:val="0"/>
          <w:numId w:val="1007"/>
        </w:numPr>
      </w:pPr>
      <w:r>
        <w:t xml:space="preserve">Check the rendered slides, not only the web page.</w:t>
      </w:r>
      <w:r>
        <w:t xml:space="preserve"> </w:t>
      </w:r>
      <w:r>
        <w:t xml:space="preserve">Slides need the same boxes and colors on theorem-type and callout divs</w:t>
      </w:r>
      <w:r>
        <w:t xml:space="preserve"> </w:t>
      </w:r>
      <w:r>
        <w:t xml:space="preserve">that the web page has,</w:t>
      </w:r>
      <w:r>
        <w:t xml:space="preserve"> </w:t>
      </w:r>
      <w:r>
        <w:t xml:space="preserve">so a reader can see where a definition ends and the commentary begins.</w:t>
      </w:r>
    </w:p>
    <w:p>
      <w:pPr>
        <w:pStyle w:val="Compact"/>
        <w:numPr>
          <w:ilvl w:val="0"/>
          <w:numId w:val="1007"/>
        </w:numPr>
      </w:pPr>
      <w:r>
        <w:t xml:space="preserve">Put a list of three or more phrases in a bullet list,</w:t>
      </w:r>
      <w:r>
        <w:t xml:space="preserve"> </w:t>
      </w:r>
      <w:r>
        <w:t xml:space="preserve">as</w:t>
      </w:r>
      <w:r>
        <w:t xml:space="preserve"> </w:t>
      </w:r>
      <w:hyperlink r:id="rId25">
        <w:r>
          <w:rPr>
            <w:rStyle w:val="Hyperlink"/>
          </w:rPr>
          <w:t xml:space="preserve">Put lists in bullet points</w:t>
        </w:r>
      </w:hyperlink>
      <w:r>
        <w:t xml:space="preserve"> </w:t>
      </w:r>
      <w:r>
        <w:t xml:space="preserve">describes.</w:t>
      </w:r>
    </w:p>
    <w:p>
      <w:pPr>
        <w:pStyle w:val="Compact"/>
        <w:numPr>
          <w:ilvl w:val="0"/>
          <w:numId w:val="1007"/>
        </w:numPr>
      </w:pPr>
      <w:r>
        <w:t xml:space="preserve">Put each named example in an</w:t>
      </w:r>
      <w:r>
        <w:t xml:space="preserve"> </w:t>
      </w:r>
      <w:r>
        <w:rPr>
          <w:rStyle w:val="VerbatimChar"/>
        </w:rPr>
        <w:t xml:space="preserve">#exm-</w:t>
      </w:r>
      <w:r>
        <w:t xml:space="preserve"> </w:t>
      </w:r>
      <w:r>
        <w:t xml:space="preserve">div.</w:t>
      </w:r>
    </w:p>
    <w:p>
      <w:pPr>
        <w:pStyle w:val="Compact"/>
        <w:numPr>
          <w:ilvl w:val="0"/>
          <w:numId w:val="1007"/>
        </w:numPr>
      </w:pPr>
      <w:r>
        <w:t xml:space="preserve">Put on a slide only what you want the audience to look at.</w:t>
      </w:r>
      <w:r>
        <w:t xml:space="preserve"> </w:t>
      </w:r>
      <w:r>
        <w:t xml:space="preserve">Put an example in an</w:t>
      </w:r>
      <w:r>
        <w:t xml:space="preserve"> </w:t>
      </w:r>
      <w:r>
        <w:rPr>
          <w:rStyle w:val="VerbatimChar"/>
        </w:rPr>
        <w:t xml:space="preserve">#exm-</w:t>
      </w:r>
      <w:r>
        <w:t xml:space="preserve"> </w:t>
      </w:r>
      <w:r>
        <w:t xml:space="preserve">div and short commentary in a</w:t>
      </w:r>
      <w:r>
        <w:t xml:space="preserve"> </w:t>
      </w:r>
      <w:r>
        <w:rPr>
          <w:rStyle w:val="VerbatimChar"/>
        </w:rPr>
        <w:t xml:space="preserve">#rem-</w:t>
      </w:r>
      <w:r>
        <w:t xml:space="preserve"> </w:t>
      </w:r>
      <w:r>
        <w:t xml:space="preserve">div,</w:t>
      </w:r>
      <w:r>
        <w:t xml:space="preserve"> </w:t>
      </w:r>
      <w:r>
        <w:t xml:space="preserve">because a</w:t>
      </w:r>
      <w:r>
        <w:t xml:space="preserve"> </w:t>
      </w:r>
      <w:r>
        <w:rPr>
          <w:rStyle w:val="VerbatimChar"/>
        </w:rPr>
        <w:t xml:space="preserve">::: notes</w:t>
      </w:r>
      <w:r>
        <w:t xml:space="preserve"> </w:t>
      </w:r>
      <w:r>
        <w:t xml:space="preserve">div is plain text without a box on the web page.</w:t>
      </w:r>
    </w:p>
    <w:p>
      <w:pPr>
        <w:pStyle w:val="Compact"/>
        <w:numPr>
          <w:ilvl w:val="0"/>
          <w:numId w:val="1007"/>
        </w:numPr>
      </w:pPr>
      <w:r>
        <w:t xml:space="preserve">Put a long paragraph of commentary in a remark that is also speaker notes:</w:t>
      </w:r>
      <w:r>
        <w:t xml:space="preserve"> </w:t>
      </w:r>
      <w:r>
        <w:rPr>
          <w:rStyle w:val="VerbatimChar"/>
        </w:rPr>
        <w:t xml:space="preserve">::: {#rem-name .remark .notes}</w:t>
      </w:r>
      <w:r>
        <w:t xml:space="preserve">.</w:t>
      </w:r>
      <w:r>
        <w:t xml:space="preserve"> </w:t>
      </w:r>
      <w:r>
        <w:t xml:space="preserve">Reveal.js shows it only in speaker view, so the audience does not have to read it,</w:t>
      </w:r>
      <w:r>
        <w:t xml:space="preserve"> </w:t>
      </w:r>
      <w:r>
        <w:t xml:space="preserve">and the web page shows it as a boxed remark.</w:t>
      </w:r>
      <w:r>
        <w:t xml:space="preserve"> </w:t>
      </w:r>
      <w:r>
        <w:t xml:space="preserve">Readers who did not attend the lecture use the web page,</w:t>
      </w:r>
      <w:r>
        <w:t xml:space="preserve"> </w:t>
      </w:r>
      <w:r>
        <w:t xml:space="preserve">so nothing is lost, and nothing is said twice.</w:t>
      </w:r>
      <w:r>
        <w:t xml:space="preserve"> </w:t>
      </w:r>
      <w:r>
        <w:t xml:space="preserve">Give a long paragraph a separate short</w:t>
      </w:r>
      <w:r>
        <w:t xml:space="preserve"> </w:t>
      </w:r>
      <w:r>
        <w:rPr>
          <w:rStyle w:val="VerbatimChar"/>
        </w:rPr>
        <w:t xml:space="preserve">#rem-</w:t>
      </w:r>
      <w:r>
        <w:t xml:space="preserve"> </w:t>
      </w:r>
      <w:r>
        <w:t xml:space="preserve">div only when the slide needs a takeaway to look at.</w:t>
      </w:r>
    </w:p>
    <w:p>
      <w:pPr>
        <w:pStyle w:val="Compact"/>
        <w:numPr>
          <w:ilvl w:val="0"/>
          <w:numId w:val="1007"/>
        </w:numPr>
      </w:pPr>
      <w:r>
        <w:t xml:space="preserve">Add structure only where content has a shape.</w:t>
      </w:r>
      <w:r>
        <w:t xml:space="preserve"> </w:t>
      </w:r>
      <w:r>
        <w:t xml:space="preserve">Do not put a heading over a single item,</w:t>
      </w:r>
      <w:r>
        <w:t xml:space="preserve"> </w:t>
      </w:r>
      <w:r>
        <w:t xml:space="preserve">or over the same topic as the heading just before it.</w:t>
      </w:r>
    </w:p>
    <w:p>
      <w:pPr>
        <w:pStyle w:val="Compact"/>
        <w:numPr>
          <w:ilvl w:val="0"/>
          <w:numId w:val="1007"/>
        </w:numPr>
      </w:pPr>
      <w:r>
        <w:t xml:space="preserve">Keep body text off section and title slides.</w:t>
      </w:r>
      <w:r>
        <w:t xml:space="preserve"> </w:t>
      </w:r>
      <w:r>
        <w:t xml:space="preserve">Reveal.js centers those slides vertically and does not scroll them,</w:t>
      </w:r>
      <w:r>
        <w:t xml:space="preserve"> </w:t>
      </w:r>
      <w:r>
        <w:t xml:space="preserve">so long text is clipped at the top and bottom of the screen</w:t>
      </w:r>
      <w:r>
        <w:t xml:space="preserve"> </w:t>
      </w:r>
      <w:r>
        <w:t xml:space="preserve">(observed in lecture slides rendered with Quarto).</w:t>
      </w:r>
      <w:r>
        <w:t xml:space="preserve"> </w:t>
      </w:r>
      <w:r>
        <w:t xml:space="preserve">Put a slide break after the heading and move the text onto content slides.</w:t>
      </w:r>
    </w:p>
    <w:bookmarkEnd w:id="26"/>
    <w:bookmarkStart w:id="30" w:name="Xcb579568ef754486ebde8b41ba4528bdf380eec"/>
    <w:p>
      <w:pPr>
        <w:pStyle w:val="Heading2"/>
      </w:pPr>
      <w:r>
        <w:t xml:space="preserve">11 Credit other courses without summarizing them</w:t>
      </w:r>
    </w:p>
    <w:p>
      <w:pPr>
        <w:pStyle w:val="Compact"/>
        <w:numPr>
          <w:ilvl w:val="0"/>
          <w:numId w:val="1008"/>
        </w:numPr>
      </w:pPr>
      <w:r>
        <w:t xml:space="preserve">Write your own version of another course’s material,</w:t>
      </w:r>
      <w:r>
        <w:t xml:space="preserve"> </w:t>
      </w:r>
      <w:r>
        <w:t xml:space="preserve">and credit the source in a collapsed</w:t>
      </w:r>
      <w:r>
        <w:t xml:space="preserve"> </w:t>
      </w:r>
      <w:r>
        <w:rPr>
          <w:rStyle w:val="VerbatimChar"/>
        </w:rPr>
        <w:t xml:space="preserve">.callout-note</w:t>
      </w:r>
      <w:r>
        <w:t xml:space="preserve"> </w:t>
      </w:r>
      <w:r>
        <w:t xml:space="preserve">titled</w:t>
      </w:r>
      <w:r>
        <w:t xml:space="preserve"> </w:t>
      </w:r>
      <w:r>
        <w:t xml:space="preserve">“Source”</w:t>
      </w:r>
      <w:r>
        <w:t xml:space="preserve">,</w:t>
      </w:r>
      <w:r>
        <w:t xml:space="preserve"> </w:t>
      </w:r>
      <w:r>
        <w:t xml:space="preserve">not in running prose.</w:t>
      </w:r>
      <w:r>
        <w:t xml:space="preserve"> </w:t>
      </w:r>
      <w:hyperlink r:id="rId27">
        <w:r>
          <w:rPr>
            <w:rStyle w:val="Hyperlink"/>
          </w:rPr>
          <w:t xml:space="preserve">Adapting another course’s material</w:t>
        </w:r>
      </w:hyperlink>
      <w:r>
        <w:t xml:space="preserve"> </w:t>
      </w:r>
      <w:r>
        <w:t xml:space="preserve">gives the details,</w:t>
      </w:r>
      <w:r>
        <w:t xml:space="preserve"> </w:t>
      </w:r>
      <w:r>
        <w:t xml:space="preserve">including when a</w:t>
      </w:r>
      <w:r>
        <w:t xml:space="preserve"> </w:t>
      </w:r>
      <w:r>
        <w:rPr>
          <w:rStyle w:val="VerbatimChar"/>
        </w:rPr>
        <w:t xml:space="preserve">::: notes</w:t>
      </w:r>
      <w:r>
        <w:t xml:space="preserve"> </w:t>
      </w:r>
      <w:r>
        <w:t xml:space="preserve">div is a safe alternative.</w:t>
      </w:r>
    </w:p>
    <w:p>
      <w:pPr>
        <w:pStyle w:val="Compact"/>
        <w:numPr>
          <w:ilvl w:val="0"/>
          <w:numId w:val="1008"/>
        </w:numPr>
      </w:pPr>
      <w:r>
        <w:t xml:space="preserve">Quote the primary source directly,</w:t>
      </w:r>
      <w:r>
        <w:t xml:space="preserve"> </w:t>
      </w:r>
      <w:r>
        <w:t xml:space="preserve">and check the wording and page against the original.</w:t>
      </w:r>
      <w:r>
        <w:t xml:space="preserve"> </w:t>
      </w:r>
      <w:hyperlink r:id="rId28">
        <w:r>
          <w:rPr>
            <w:rStyle w:val="Hyperlink"/>
          </w:rPr>
          <w:t xml:space="preserve">Quote the original</w:t>
        </w:r>
      </w:hyperlink>
      <w:r>
        <w:t xml:space="preserve"> </w:t>
      </w:r>
      <w:r>
        <w:t xml:space="preserve">explains why.</w:t>
      </w:r>
    </w:p>
    <w:p>
      <w:pPr>
        <w:pStyle w:val="Compact"/>
        <w:numPr>
          <w:ilvl w:val="0"/>
          <w:numId w:val="1008"/>
        </w:numPr>
      </w:pPr>
      <w:r>
        <w:t xml:space="preserve">Title a section by its topic, not by its author or course.</w:t>
      </w:r>
      <w:r>
        <w:t xml:space="preserve"> </w:t>
      </w:r>
      <w:hyperlink r:id="rId29">
        <w:r>
          <w:rPr>
            <w:rStyle w:val="Hyperlink"/>
          </w:rPr>
          <w:t xml:space="preserve">Put the content first</w:t>
        </w:r>
      </w:hyperlink>
      <w:r>
        <w:t xml:space="preserve"> </w:t>
      </w:r>
      <w:r>
        <w:t xml:space="preserve">explains why.</w:t>
      </w:r>
    </w:p>
    <w:p>
      <w:pPr>
        <w:pStyle w:val="Compact"/>
        <w:numPr>
          <w:ilvl w:val="0"/>
          <w:numId w:val="1008"/>
        </w:numPr>
      </w:pPr>
      <w:r>
        <w:t xml:space="preserve">Where the book is the subject rather than its authors, name the book by its title,</w:t>
      </w:r>
      <w:r>
        <w:t xml:space="preserve"> </w:t>
      </w:r>
      <w:r>
        <w:t xml:space="preserve">because a bare citation key renders as the author list.</w:t>
      </w:r>
    </w:p>
    <w:bookmarkEnd w:id="30"/>
    <w:bookmarkStart w:id="39" w:name="rules-that-apply-to-all-writing"/>
    <w:p>
      <w:pPr>
        <w:pStyle w:val="Heading2"/>
      </w:pPr>
      <w:r>
        <w:t xml:space="preserve">12 Rules that apply to all writing</w:t>
      </w:r>
    </w:p>
    <w:p>
      <w:pPr>
        <w:pStyle w:val="FirstParagraph"/>
      </w:pPr>
      <w:r>
        <w:t xml:space="preserve">These rules from the other chapters apply to teaching materials as to any other writing:</w:t>
      </w:r>
    </w:p>
    <w:p>
      <w:pPr>
        <w:pStyle w:val="Compact"/>
        <w:numPr>
          <w:ilvl w:val="0"/>
          <w:numId w:val="1009"/>
        </w:numPr>
      </w:pPr>
      <w:hyperlink r:id="rId31">
        <w:r>
          <w:rPr>
            <w:rStyle w:val="Hyperlink"/>
          </w:rPr>
          <w:t xml:space="preserve">start a sentence with its subject</w:t>
        </w:r>
      </w:hyperlink>
      <w:r>
        <w:t xml:space="preserve">;</w:t>
      </w:r>
    </w:p>
    <w:p>
      <w:pPr>
        <w:pStyle w:val="Compact"/>
        <w:numPr>
          <w:ilvl w:val="0"/>
          <w:numId w:val="1009"/>
        </w:numPr>
      </w:pPr>
      <w:hyperlink r:id="rId32">
        <w:r>
          <w:rPr>
            <w:rStyle w:val="Hyperlink"/>
          </w:rPr>
          <w:t xml:space="preserve">name the referent</w:t>
        </w:r>
      </w:hyperlink>
      <w:r>
        <w:t xml:space="preserve"> </w:t>
      </w:r>
      <w:r>
        <w:t xml:space="preserve">instead of a bare demonstrative;</w:t>
      </w:r>
    </w:p>
    <w:p>
      <w:pPr>
        <w:pStyle w:val="Compact"/>
        <w:numPr>
          <w:ilvl w:val="0"/>
          <w:numId w:val="1009"/>
        </w:numPr>
      </w:pPr>
      <w:hyperlink r:id="rId33">
        <w:r>
          <w:rPr>
            <w:rStyle w:val="Hyperlink"/>
          </w:rPr>
          <w:t xml:space="preserve">say which thing</w:t>
        </w:r>
      </w:hyperlink>
      <w:r>
        <w:t xml:space="preserve">;</w:t>
      </w:r>
    </w:p>
    <w:p>
      <w:pPr>
        <w:pStyle w:val="Compact"/>
        <w:numPr>
          <w:ilvl w:val="0"/>
          <w:numId w:val="1009"/>
        </w:numPr>
      </w:pPr>
      <w:hyperlink r:id="rId34">
        <w:r>
          <w:rPr>
            <w:rStyle w:val="Hyperlink"/>
          </w:rPr>
          <w:t xml:space="preserve">state the literal claim</w:t>
        </w:r>
      </w:hyperlink>
      <w:r>
        <w:t xml:space="preserve"> </w:t>
      </w:r>
      <w:r>
        <w:t xml:space="preserve">instead of an idiom;</w:t>
      </w:r>
    </w:p>
    <w:p>
      <w:pPr>
        <w:pStyle w:val="Compact"/>
        <w:numPr>
          <w:ilvl w:val="0"/>
          <w:numId w:val="1009"/>
        </w:numPr>
      </w:pPr>
      <w:hyperlink r:id="rId35">
        <w:r>
          <w:rPr>
            <w:rStyle w:val="Hyperlink"/>
          </w:rPr>
          <w:t xml:space="preserve">avoid AI clichés</w:t>
        </w:r>
      </w:hyperlink>
      <w:r>
        <w:t xml:space="preserve">.</w:t>
      </w:r>
    </w:p>
    <w:bookmarkStart w:id="38" w:name="refs"/>
    <w:bookmarkStart w:id="37" w:name="ref-freeman2014active"/>
    <w:p>
      <w:pPr>
        <w:pStyle w:val="Bibliography"/>
      </w:pPr>
      <w:r>
        <w:t xml:space="preserve">Freeman, Scott, Sarah L. Eddy, Miles McDonough, et al. 2014.</w:t>
      </w:r>
      <w:r>
        <w:t xml:space="preserve"> </w:t>
      </w:r>
      <w:r>
        <w:t xml:space="preserve">“Active Learning Increases Student Performance in Science, Engineering, and Mathematics.”</w:t>
      </w:r>
      <w:r>
        <w:t xml:space="preserve"> </w:t>
      </w:r>
      <w:r>
        <w:rPr>
          <w:i/>
          <w:iCs/>
        </w:rPr>
        <w:t xml:space="preserve">Proceedings of the National Academy of Sciences</w:t>
      </w:r>
      <w:r>
        <w:t xml:space="preserve"> </w:t>
      </w:r>
      <w:r>
        <w:t xml:space="preserve">111 (23): 8410–15.</w:t>
      </w:r>
      <w:r>
        <w:t xml:space="preserve"> </w:t>
      </w:r>
      <w:hyperlink r:id="rId36">
        <w:r>
          <w:rPr>
            <w:rStyle w:val="Hyperlink"/>
          </w:rPr>
          <w:t xml:space="preserve">https://doi.org/10.1073/pnas.1319030111</w:t>
        </w:r>
      </w:hyperlink>
      <w:r>
        <w:t xml:space="preserve">.</w:t>
      </w:r>
    </w:p>
    <w:bookmarkEnd w:id="37"/>
    <w:bookmarkEnd w:id="38"/>
    <w:bookmarkEnd w:id="3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35" Target="avoid-ai-tells.qmd" TargetMode="External" /><Relationship Type="http://schemas.openxmlformats.org/officeDocument/2006/relationships/hyperlink" Id="rId27" Target="citations-evidence.qmd#adapting-another-courses-material" TargetMode="External" /><Relationship Type="http://schemas.openxmlformats.org/officeDocument/2006/relationships/hyperlink" Id="rId29" Target="citations-evidence.qmd#put-the-content-first" TargetMode="External" /><Relationship Type="http://schemas.openxmlformats.org/officeDocument/2006/relationships/hyperlink" Id="rId28" Target="citations-evidence.qmd#quote-the-original" TargetMode="External" /><Relationship Type="http://schemas.openxmlformats.org/officeDocument/2006/relationships/hyperlink" Id="rId31" Target="conciseness.qmd#lead-with-the-subject" TargetMode="External" /><Relationship Type="http://schemas.openxmlformats.org/officeDocument/2006/relationships/hyperlink" Id="rId25" Target="conciseness.qmd#put-lists-in-bullet-points" TargetMode="External" /><Relationship Type="http://schemas.openxmlformats.org/officeDocument/2006/relationships/hyperlink" Id="rId14" Target="defining-terms.qmd#guidelines-for-defining-terms" TargetMode="External" /><Relationship Type="http://schemas.openxmlformats.org/officeDocument/2006/relationships/hyperlink" Id="rId32" Target="grammar.qmd#demonstrative-pronouns" TargetMode="External" /><Relationship Type="http://schemas.openxmlformats.org/officeDocument/2006/relationships/hyperlink" Id="rId36" Target="https://doi.org/10.1073/pnas.1319030111" TargetMode="External" /><Relationship Type="http://schemas.openxmlformats.org/officeDocument/2006/relationships/hyperlink" Id="rId20" Target="https://github.com/Morrison-Lab/ai-config/pull/4386" TargetMode="External" /><Relationship Type="http://schemas.openxmlformats.org/officeDocument/2006/relationships/hyperlink" Id="rId21" Target="paper-organization.qmd#figures-and-tables" TargetMode="External" /><Relationship Type="http://schemas.openxmlformats.org/officeDocument/2006/relationships/hyperlink" Id="rId34" Target="word-choice.qmd#avoid-vague-and-metaphorical-language" TargetMode="External" /><Relationship Type="http://schemas.openxmlformats.org/officeDocument/2006/relationships/hyperlink" Id="rId33" Target="word-choice.qmd#say-which-thing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5" Target="avoid-ai-tells.qmd" TargetMode="External" /><Relationship Type="http://schemas.openxmlformats.org/officeDocument/2006/relationships/hyperlink" Id="rId27" Target="citations-evidence.qmd#adapting-another-courses-material" TargetMode="External" /><Relationship Type="http://schemas.openxmlformats.org/officeDocument/2006/relationships/hyperlink" Id="rId29" Target="citations-evidence.qmd#put-the-content-first" TargetMode="External" /><Relationship Type="http://schemas.openxmlformats.org/officeDocument/2006/relationships/hyperlink" Id="rId28" Target="citations-evidence.qmd#quote-the-original" TargetMode="External" /><Relationship Type="http://schemas.openxmlformats.org/officeDocument/2006/relationships/hyperlink" Id="rId31" Target="conciseness.qmd#lead-with-the-subject" TargetMode="External" /><Relationship Type="http://schemas.openxmlformats.org/officeDocument/2006/relationships/hyperlink" Id="rId25" Target="conciseness.qmd#put-lists-in-bullet-points" TargetMode="External" /><Relationship Type="http://schemas.openxmlformats.org/officeDocument/2006/relationships/hyperlink" Id="rId14" Target="defining-terms.qmd#guidelines-for-defining-terms" TargetMode="External" /><Relationship Type="http://schemas.openxmlformats.org/officeDocument/2006/relationships/hyperlink" Id="rId32" Target="grammar.qmd#demonstrative-pronouns" TargetMode="External" /><Relationship Type="http://schemas.openxmlformats.org/officeDocument/2006/relationships/hyperlink" Id="rId36" Target="https://doi.org/10.1073/pnas.1319030111" TargetMode="External" /><Relationship Type="http://schemas.openxmlformats.org/officeDocument/2006/relationships/hyperlink" Id="rId20" Target="https://github.com/Morrison-Lab/ai-config/pull/4386" TargetMode="External" /><Relationship Type="http://schemas.openxmlformats.org/officeDocument/2006/relationships/hyperlink" Id="rId21" Target="paper-organization.qmd#figures-and-tables" TargetMode="External" /><Relationship Type="http://schemas.openxmlformats.org/officeDocument/2006/relationships/hyperlink" Id="rId34" Target="word-choice.qmd#avoid-vague-and-metaphorical-language" TargetMode="External" /><Relationship Type="http://schemas.openxmlformats.org/officeDocument/2006/relationships/hyperlink" Id="rId33" Target="word-choice.qmd#say-which-thing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Writing for teaching</dc:title>
  <dc:creator/>
  <cp:keywords/>
  <dcterms:created xsi:type="dcterms:W3CDTF">2026-10-09T05:10:02Z</dcterms:created>
  <dcterms:modified xsi:type="dcterms:W3CDTF">2026-10-09T05:10:02Z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2026-10-08 22:06:13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