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2026-10-29 12:49:22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7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numPr>
          <w:ilvl w:val="0"/>
          <w:numId w:val="1001"/>
        </w:numPr>
      </w:pPr>
      <w:r>
        <w:t xml:space="preserve">Restate every result that a solution first derives in its own theorem-type div</w:t>
      </w:r>
      <w:r>
        <w:t xml:space="preserve"> </w:t>
      </w:r>
      <w:r>
        <w:t xml:space="preserve">(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) after the exercise (Ezra, 2026-10-29).</w:t>
      </w:r>
      <w:r>
        <w:t xml:space="preserve"> </w:t>
      </w:r>
      <w:r>
        <w:t xml:space="preserve">The solution shows the working,</w:t>
      </w:r>
      <w:r>
        <w:t xml:space="preserve"> </w:t>
      </w:r>
      <w:r>
        <w:t xml:space="preserve">and the theorem div states the result by itself, so a reader can find and cite 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check-restated-results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warns about a derivation solution that a pull request edits</w:t>
      </w:r>
      <w:r>
        <w:t xml:space="preserve"> </w:t>
      </w:r>
      <w:r>
        <w:t xml:space="preserve">and that no theorem-type div follows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gha#1309</w:t>
        </w:r>
      </w:hyperlink>
      <w:r>
        <w:t xml:space="preserve">).</w:t>
      </w:r>
      <w:r>
        <w:t xml:space="preserve"> </w:t>
      </w:r>
      <w:r>
        <w:t xml:space="preserve">The check never sweeps existing content:</w:t>
      </w:r>
      <w:r>
        <w:t xml:space="preserve"> </w:t>
      </w:r>
      <w:r>
        <w:t xml:space="preserve">restate the result when you edit the passage anyway.</w:t>
      </w:r>
      <w:r>
        <w:t xml:space="preserve"> </w:t>
      </w:r>
      <w:r>
        <w:rPr>
          <w:rStyle w:val="VerbatimChar"/>
        </w:rPr>
        <w:t xml:space="preserve">&lt;!-- restated-ok: reason --&gt;</w:t>
      </w:r>
      <w:r>
        <w:t xml:space="preserve"> </w:t>
      </w:r>
      <w:r>
        <w:t xml:space="preserve">in the solution exempts a result that is stated elsewhere.</w:t>
      </w:r>
      <w:r>
        <w:t xml:space="preserve"> </w:t>
      </w:r>
      <w:r>
        <w:t xml:space="preserve">A restated theorem passes review only when it meets these four conditions: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proof stands alone.</w:t>
      </w:r>
      <w:r>
        <w:t xml:space="preserve"> </w:t>
      </w:r>
      <w:r>
        <w:t xml:space="preserve">It derives the result step by step, or cites earlier results,</w:t>
      </w:r>
      <w:r>
        <w:t xml:space="preserve"> </w:t>
      </w:r>
      <w:r>
        <w:t xml:space="preserve">and does not only point back at the solution that first derived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statement uses only defined symbols.</w:t>
      </w:r>
      <w:r>
        <w:t xml:space="preserve"> </w:t>
      </w:r>
      <w:r>
        <w:t xml:space="preserve">Every symbol in it is defined in the statement itself or in an earlier div.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first use of each</w:t>
      </w:r>
      <w:r>
        <w:rPr>
          <w:b/>
          <w:bCs/>
        </w:rPr>
        <w:t xml:space="preserve"> </w:t>
      </w:r>
      <w:hyperlink r:id="rId14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linked</w:t>
      </w:r>
      <w:r>
        <w:t xml:space="preserve"> </w:t>
      </w:r>
      <w:r>
        <w:t xml:space="preserve">to the div that defines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Each source line holds one clause</w:t>
      </w:r>
      <w:r>
        <w:t xml:space="preserve">,</w:t>
      </w:r>
      <w:r>
        <w:t xml:space="preserve"> </w:t>
      </w:r>
      <w:r>
        <w:t xml:space="preserve">as the semantic line break rule requires.</w:t>
      </w:r>
    </w:p>
    <w:p>
      <w:pPr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numPr>
          <w:ilvl w:val="0"/>
          <w:numId w:val="1001"/>
        </w:numPr>
      </w:pPr>
      <w:r>
        <w:t xml:space="preserve">Split the solution the same way as its exercise (Ezra, 2026-10-28).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of a split exercise answers only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t xml:space="preserve">takes its slug from that exercise (see the slug rule below),</w:t>
      </w:r>
      <w:r>
        <w:t xml:space="preserve"> </w:t>
      </w:r>
      <w:r>
        <w:t xml:space="preserve">and sits in its own subfile after its exercise.</w:t>
      </w:r>
      <w:r>
        <w:t xml:space="preserve"> </w:t>
      </w:r>
      <w:r>
        <w:t xml:space="preserve">This covers code: a lab solution puts each step’s code, output and figure in the solution of the exercise that asks for it,</w:t>
      </w:r>
      <w:r>
        <w:t xml:space="preserve"> </w:t>
      </w:r>
      <w:r>
        <w:t xml:space="preserve">not all in the first solution.</w:t>
      </w:r>
      <w:r>
        <w:t xml:space="preserve"> </w:t>
      </w:r>
      <w:r>
        <w:t xml:space="preserve">A solution does not label parts such as</w:t>
      </w:r>
      <w:r>
        <w:t xml:space="preserve"> </w:t>
      </w:r>
      <w:r>
        <w:t xml:space="preserve">“(b)”</w:t>
      </w:r>
      <w:r>
        <w:t xml:space="preserve"> </w:t>
      </w:r>
      <w:r>
        <w:t xml:space="preserve">or</w:t>
      </w:r>
      <w:r>
        <w:t xml:space="preserve"> </w:t>
      </w:r>
      <w:r>
        <w:t xml:space="preserve">“Part 2”</w:t>
      </w:r>
      <w:r>
        <w:t xml:space="preserve">,</w:t>
      </w:r>
      <w:r>
        <w:t xml:space="preserve"> </w:t>
      </w:r>
      <w:r>
        <w:t xml:space="preserve">and does not draw a figure that a later exercise asks for.</w:t>
      </w:r>
      <w:r>
        <w:t xml:space="preserve"> </w:t>
      </w:r>
      <w:r>
        <w:t xml:space="preserve">Code that a later part needs stays in the earliest solution that needs it,</w:t>
      </w:r>
      <w:r>
        <w:t xml:space="preserve"> </w:t>
      </w:r>
      <w:r>
        <w:t xml:space="preserve">because the page shares one session per language.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check-split-solutions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enforces this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gha#1290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p>
      <w:pPr>
        <w:numPr>
          <w:ilvl w:val="0"/>
          <w:numId w:val="1001"/>
        </w:numPr>
      </w:pPr>
      <w:r>
        <w:t xml:space="preserve">Give each exercise the background that its title implies, and say why the reader should care (Ezra, 2026-10-29).</w:t>
      </w:r>
      <w:r>
        <w:t xml:space="preserve"> </w:t>
      </w:r>
      <w:r>
        <w:t xml:space="preserve">Whatever the title tells the reader about the object, the body also says:</w:t>
      </w:r>
      <w:r>
        <w:t xml:space="preserve"> </w:t>
      </w:r>
      <w:r>
        <w:t xml:space="preserve">name the object, link its definition, and say where it arises and what it is used for.</w:t>
      </w:r>
      <w:r>
        <w:t xml:space="preserve"> </w:t>
      </w:r>
      <w:r>
        <w:t xml:space="preserve">For a title such as</w:t>
      </w:r>
      <w:r>
        <w:t xml:space="preserve"> </w:t>
      </w:r>
      <w:r>
        <w:t xml:space="preserve">“Maximizing a gamma-family kernel”</w:t>
      </w:r>
      <w:r>
        <w:t xml:space="preserve">,</w:t>
      </w:r>
      <w:r>
        <w:t xml:space="preserve"> </w:t>
      </w:r>
      <w:r>
        <w:t xml:space="preserve">the body says what a gamma distribution and its kernel are,</w:t>
      </w:r>
      <w:r>
        <w:t xml:space="preserve"> </w:t>
      </w:r>
      <w:r>
        <w:t xml:space="preserve">and that maximizing the kernel finds the mode without computing the normalizing constant.</w:t>
      </w:r>
      <w:r>
        <w:t xml:space="preserve"> </w:t>
      </w:r>
      <w:r>
        <w:t xml:space="preserve">A body that only restates the formula leaves a reader who skipped the title with a formula and no reason to care.</w:t>
      </w:r>
      <w:r>
        <w:t xml:space="preserve"> </w:t>
      </w:r>
      <w:r>
        <w:t xml:space="preserve">The first exercise of a split series carries the background,</w:t>
      </w:r>
      <w:r>
        <w:t xml:space="preserve"> </w:t>
      </w:r>
      <w:r>
        <w:t xml:space="preserve">and each later exercise begins by citing it, as the splitting rule above says.</w:t>
      </w:r>
    </w:p>
    <w:bookmarkStart w:id="16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6"/>
    <w:bookmarkEnd w:id="17"/>
    <w:bookmarkStart w:id="21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8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3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div holds one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3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20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20"/>
    <w:bookmarkEnd w:id="21"/>
    <w:bookmarkStart w:id="23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22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22"/>
    <w:bookmarkEnd w:id="23"/>
    <w:bookmarkStart w:id="24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4"/>
    <w:bookmarkStart w:id="27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4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4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4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4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27"/>
    <w:bookmarkStart w:id="28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8"/>
    <w:bookmarkStart w:id="30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2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30"/>
    <w:bookmarkStart w:id="31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31"/>
    <w:bookmarkStart w:id="33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5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5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5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5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32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32"/>
    <w:bookmarkEnd w:id="33"/>
    <w:bookmarkStart w:id="34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6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6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6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6"/>
        </w:numPr>
      </w:pPr>
      <w:r>
        <w:t xml:space="preserve">A short list that no other page reads can stay as prose.</w:t>
      </w:r>
    </w:p>
    <w:bookmarkEnd w:id="34"/>
    <w:bookmarkStart w:id="39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7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7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7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7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7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Make each figure follow the accessibility rules below.</w:t>
      </w:r>
    </w:p>
    <w:bookmarkEnd w:id="39"/>
    <w:bookmarkStart w:id="41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8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8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8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8"/>
        </w:numPr>
      </w:pPr>
      <w:r>
        <w:t xml:space="preserve">A counterexample (see</w:t>
      </w:r>
      <w:r>
        <w:t xml:space="preserve"> </w:t>
      </w:r>
      <w:hyperlink r:id="rId25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Give the practice exercise its own slug and follow the numbering and slide-break rules above.</w:t>
      </w:r>
    </w:p>
    <w:bookmarkStart w:id="40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40"/>
    <w:bookmarkEnd w:id="41"/>
    <w:bookmarkStart w:id="45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9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9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Write the R code with</w:t>
      </w:r>
      <w:r>
        <w:t xml:space="preserve"> </w:t>
      </w:r>
      <w:hyperlink r:id="rId42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3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9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4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9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9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9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9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5"/>
    <w:bookmarkStart w:id="46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10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10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10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10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6"/>
    <w:bookmarkStart w:id="55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2"/>
        </w:numPr>
      </w:pPr>
      <w:r>
        <w:t xml:space="preserve">Show coefficient tables with</w:t>
      </w:r>
      <w:r>
        <w:t xml:space="preserve"> </w:t>
      </w:r>
      <w:hyperlink r:id="rId4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2"/>
        </w:numPr>
      </w:pPr>
      <w:r>
        <w:t xml:space="preserve">Draw figures with</w:t>
      </w:r>
      <w:r>
        <w:t xml:space="preserve"> </w:t>
      </w:r>
      <w:hyperlink r:id="rId4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Draw model plots with packages built on ggplot2:</w:t>
      </w:r>
      <w:r>
        <w:t xml:space="preserve"> </w:t>
      </w:r>
      <w:hyperlink r:id="rId5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5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2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Ezra’s</w:t>
      </w:r>
      <w:r>
        <w:t xml:space="preserve"> </w:t>
      </w:r>
      <w:hyperlink r:id="rId5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5"/>
    <w:bookmarkStart w:id="59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Select columns with</w:t>
      </w:r>
      <w:r>
        <w:t xml:space="preserve"> </w:t>
      </w:r>
      <w:hyperlink r:id="rId5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Drop rows with missing values with</w:t>
      </w:r>
      <w:r>
        <w:t xml:space="preserve"> </w:t>
      </w:r>
      <w:hyperlink r:id="rId5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Build data frames with</w:t>
      </w:r>
      <w:r>
        <w:t xml:space="preserve"> </w:t>
      </w:r>
      <w:hyperlink r:id="rId5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3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9"/>
    <w:bookmarkStart w:id="61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4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6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4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61"/>
    <w:bookmarkStart w:id="62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5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5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5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2"/>
    <w:bookmarkStart w:id="63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3"/>
    <w:bookmarkStart w:id="64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7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7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7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7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4"/>
    <w:bookmarkStart w:id="65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8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8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8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5"/>
    <w:bookmarkStart w:id="67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9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9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9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9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9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9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9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67"/>
    <w:bookmarkStart w:id="69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20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20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20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20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8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8"/>
    <w:bookmarkEnd w:id="69"/>
    <w:bookmarkStart w:id="70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1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1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70"/>
    <w:bookmarkStart w:id="72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2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2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2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2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2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71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71"/>
    <w:bookmarkEnd w:id="72"/>
    <w:bookmarkStart w:id="76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Title a section by its topic, not by its author or course.</w:t>
      </w:r>
      <w:r>
        <w:t xml:space="preserve"> </w:t>
      </w:r>
      <w:hyperlink r:id="rId7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6"/>
    <w:bookmarkStart w:id="85" w:name="rules-that-apply-to-all-writing"/>
    <w:p>
      <w:pPr>
        <w:pStyle w:val="Heading2"/>
      </w:pPr>
      <w:r>
        <w:t xml:space="preserve">27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4"/>
        </w:numPr>
      </w:pPr>
      <w:hyperlink r:id="rId7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7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4"/>
        </w:numPr>
      </w:pPr>
      <w:hyperlink r:id="rId7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8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4"/>
        </w:numPr>
      </w:pPr>
      <w:hyperlink r:id="rId8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84" w:name="refs"/>
    <w:bookmarkStart w:id="8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1" Target="avoid-cliches.qmd" TargetMode="External" /><Relationship Type="http://schemas.openxmlformats.org/officeDocument/2006/relationships/hyperlink" Id="rId73" Target="citations-evidence.qmd#adapting-another-courses-material" TargetMode="External" /><Relationship Type="http://schemas.openxmlformats.org/officeDocument/2006/relationships/hyperlink" Id="rId75" Target="citations-evidence.qmd#put-the-content-first" TargetMode="External" /><Relationship Type="http://schemas.openxmlformats.org/officeDocument/2006/relationships/hyperlink" Id="rId74" Target="citations-evidence.qmd#quote-the-original" TargetMode="External" /><Relationship Type="http://schemas.openxmlformats.org/officeDocument/2006/relationships/hyperlink" Id="rId77" Target="conciseness.qmd#lead-with-the-subject" TargetMode="External" /><Relationship Type="http://schemas.openxmlformats.org/officeDocument/2006/relationships/hyperlink" Id="rId66" Target="conciseness.qmd#put-lists-in-bullet-points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29" Target="defining-terms.qmd#def-variance-expression-and-prose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78" Target="grammar.qmd#demonstrative-pronouns" TargetMode="External" /><Relationship Type="http://schemas.openxmlformats.org/officeDocument/2006/relationships/hyperlink" Id="rId53" Target="https://cran.r-project.org/package=broom" TargetMode="External" /><Relationship Type="http://schemas.openxmlformats.org/officeDocument/2006/relationships/hyperlink" Id="rId48" Target="https://cran.r-project.org/package=gtsummary" TargetMode="External" /><Relationship Type="http://schemas.openxmlformats.org/officeDocument/2006/relationships/hyperlink" Id="rId82" Target="https://doi.org/10.1073/pnas.1319030111" TargetMode="External" /><Relationship Type="http://schemas.openxmlformats.org/officeDocument/2006/relationships/hyperlink" Id="rId56" Target="https://dplyr.tidyverse.org/" TargetMode="External" /><Relationship Type="http://schemas.openxmlformats.org/officeDocument/2006/relationships/hyperlink" Id="rId47" Target="https://easystats.github.io/parameters/" TargetMode="External" /><Relationship Type="http://schemas.openxmlformats.org/officeDocument/2006/relationships/hyperlink" Id="rId52" Target="https://easystats.github.io/performance/" TargetMode="External" /><Relationship Type="http://schemas.openxmlformats.org/officeDocument/2006/relationships/hyperlink" Id="rId18" Target="https://en.wikipedia.org/wiki/Modular_programming" TargetMode="External" /><Relationship Type="http://schemas.openxmlformats.org/officeDocument/2006/relationships/hyperlink" Id="rId49" Target="https://ggplot2.tidyverse.org/" TargetMode="External" /><Relationship Type="http://schemas.openxmlformats.org/officeDocument/2006/relationships/hyperlink" Id="rId43" Target="https://github.com/Morrison-Lab/ISLR-tidymodels-labs" TargetMode="External" /><Relationship Type="http://schemas.openxmlformats.org/officeDocument/2006/relationships/hyperlink" Id="rId35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6" Target="https://github.com/Morrison-Lab/gha/issues/1193" TargetMode="External" /><Relationship Type="http://schemas.openxmlformats.org/officeDocument/2006/relationships/hyperlink" Id="rId15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37" Target="https://github.com/Morrison-Lab/gha/pull/1262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44" Target="https://github.com/intro-stat-learning/ISLP_labs" TargetMode="External" /><Relationship Type="http://schemas.openxmlformats.org/officeDocument/2006/relationships/hyperlink" Id="rId60" Target="https://github.com/quarto-ext/include-code-files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51" Target="https://strengejacke.github.io/ggeffects/" TargetMode="External" /><Relationship Type="http://schemas.openxmlformats.org/officeDocument/2006/relationships/hyperlink" Id="rId50" Target="https://strengejacke.github.io/sjPlot/" TargetMode="External" /><Relationship Type="http://schemas.openxmlformats.org/officeDocument/2006/relationships/hyperlink" Id="rId58" Target="https://tibble.tidyverse.org/" TargetMode="External" /><Relationship Type="http://schemas.openxmlformats.org/officeDocument/2006/relationships/hyperlink" Id="rId57" Target="https://tidyr.tidyverse.org/" TargetMode="External" /><Relationship Type="http://schemas.openxmlformats.org/officeDocument/2006/relationships/hyperlink" Id="rId42" Target="https://www.tidymodels.org/" TargetMode="External" /><Relationship Type="http://schemas.openxmlformats.org/officeDocument/2006/relationships/hyperlink" Id="rId19" Target="notation.qmd#making-expressions-concise" TargetMode="External" /><Relationship Type="http://schemas.openxmlformats.org/officeDocument/2006/relationships/hyperlink" Id="rId38" Target="paper-organization.qmd#figures-and-tables" TargetMode="External" /><Relationship Type="http://schemas.openxmlformats.org/officeDocument/2006/relationships/hyperlink" Id="rId80" Target="word-choice.qmd#avoid-vague-and-metaphorical-language" TargetMode="External" /><Relationship Type="http://schemas.openxmlformats.org/officeDocument/2006/relationships/hyperlink" Id="rId7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1" Target="avoid-cliches.qmd" TargetMode="External" /><Relationship Type="http://schemas.openxmlformats.org/officeDocument/2006/relationships/hyperlink" Id="rId73" Target="citations-evidence.qmd#adapting-another-courses-material" TargetMode="External" /><Relationship Type="http://schemas.openxmlformats.org/officeDocument/2006/relationships/hyperlink" Id="rId75" Target="citations-evidence.qmd#put-the-content-first" TargetMode="External" /><Relationship Type="http://schemas.openxmlformats.org/officeDocument/2006/relationships/hyperlink" Id="rId74" Target="citations-evidence.qmd#quote-the-original" TargetMode="External" /><Relationship Type="http://schemas.openxmlformats.org/officeDocument/2006/relationships/hyperlink" Id="rId77" Target="conciseness.qmd#lead-with-the-subject" TargetMode="External" /><Relationship Type="http://schemas.openxmlformats.org/officeDocument/2006/relationships/hyperlink" Id="rId66" Target="conciseness.qmd#put-lists-in-bullet-points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29" Target="defining-terms.qmd#def-variance-expression-and-prose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78" Target="grammar.qmd#demonstrative-pronouns" TargetMode="External" /><Relationship Type="http://schemas.openxmlformats.org/officeDocument/2006/relationships/hyperlink" Id="rId53" Target="https://cran.r-project.org/package=broom" TargetMode="External" /><Relationship Type="http://schemas.openxmlformats.org/officeDocument/2006/relationships/hyperlink" Id="rId48" Target="https://cran.r-project.org/package=gtsummary" TargetMode="External" /><Relationship Type="http://schemas.openxmlformats.org/officeDocument/2006/relationships/hyperlink" Id="rId82" Target="https://doi.org/10.1073/pnas.1319030111" TargetMode="External" /><Relationship Type="http://schemas.openxmlformats.org/officeDocument/2006/relationships/hyperlink" Id="rId56" Target="https://dplyr.tidyverse.org/" TargetMode="External" /><Relationship Type="http://schemas.openxmlformats.org/officeDocument/2006/relationships/hyperlink" Id="rId47" Target="https://easystats.github.io/parameters/" TargetMode="External" /><Relationship Type="http://schemas.openxmlformats.org/officeDocument/2006/relationships/hyperlink" Id="rId52" Target="https://easystats.github.io/performance/" TargetMode="External" /><Relationship Type="http://schemas.openxmlformats.org/officeDocument/2006/relationships/hyperlink" Id="rId18" Target="https://en.wikipedia.org/wiki/Modular_programming" TargetMode="External" /><Relationship Type="http://schemas.openxmlformats.org/officeDocument/2006/relationships/hyperlink" Id="rId49" Target="https://ggplot2.tidyverse.org/" TargetMode="External" /><Relationship Type="http://schemas.openxmlformats.org/officeDocument/2006/relationships/hyperlink" Id="rId43" Target="https://github.com/Morrison-Lab/ISLR-tidymodels-labs" TargetMode="External" /><Relationship Type="http://schemas.openxmlformats.org/officeDocument/2006/relationships/hyperlink" Id="rId35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6" Target="https://github.com/Morrison-Lab/gha/issues/1193" TargetMode="External" /><Relationship Type="http://schemas.openxmlformats.org/officeDocument/2006/relationships/hyperlink" Id="rId15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37" Target="https://github.com/Morrison-Lab/gha/pull/1262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44" Target="https://github.com/intro-stat-learning/ISLP_labs" TargetMode="External" /><Relationship Type="http://schemas.openxmlformats.org/officeDocument/2006/relationships/hyperlink" Id="rId60" Target="https://github.com/quarto-ext/include-code-files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51" Target="https://strengejacke.github.io/ggeffects/" TargetMode="External" /><Relationship Type="http://schemas.openxmlformats.org/officeDocument/2006/relationships/hyperlink" Id="rId50" Target="https://strengejacke.github.io/sjPlot/" TargetMode="External" /><Relationship Type="http://schemas.openxmlformats.org/officeDocument/2006/relationships/hyperlink" Id="rId58" Target="https://tibble.tidyverse.org/" TargetMode="External" /><Relationship Type="http://schemas.openxmlformats.org/officeDocument/2006/relationships/hyperlink" Id="rId57" Target="https://tidyr.tidyverse.org/" TargetMode="External" /><Relationship Type="http://schemas.openxmlformats.org/officeDocument/2006/relationships/hyperlink" Id="rId42" Target="https://www.tidymodels.org/" TargetMode="External" /><Relationship Type="http://schemas.openxmlformats.org/officeDocument/2006/relationships/hyperlink" Id="rId19" Target="notation.qmd#making-expressions-concise" TargetMode="External" /><Relationship Type="http://schemas.openxmlformats.org/officeDocument/2006/relationships/hyperlink" Id="rId38" Target="paper-organization.qmd#figures-and-tables" TargetMode="External" /><Relationship Type="http://schemas.openxmlformats.org/officeDocument/2006/relationships/hyperlink" Id="rId80" Target="word-choice.qmd#avoid-vague-and-metaphorical-language" TargetMode="External" /><Relationship Type="http://schemas.openxmlformats.org/officeDocument/2006/relationships/hyperlink" Id="rId7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2026-10-29T19:54:35Z</dcterms:created>
  <dcterms:modified xsi:type="dcterms:W3CDTF">2026-10-29T19:54:35Z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12:49:22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