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17:05:32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2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2"/>
    <w:bookmarkStart w:id="33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3"/>
    <w:bookmarkStart w:id="41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5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5"/>
    <w:bookmarkStart w:id="40" w:name="example-pythagorean-theorem"/>
    <w:p>
      <w:pPr>
        <w:pStyle w:val="Heading3"/>
      </w:pPr>
      <w:r>
        <w:t xml:space="preserve">6.2 Example: Pythagorean theorem</w:t>
      </w:r>
    </w:p>
    <w:bookmarkStart w:id="3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bookmarkStart w:id="37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8"/>
    <w:bookmarkStart w:id="39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9"/>
    <w:bookmarkEnd w:id="40"/>
    <w:bookmarkEnd w:id="41"/>
    <w:bookmarkStart w:id="49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3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3"/>
    <w:bookmarkStart w:id="44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5"/>
    <w:bookmarkStart w:id="46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7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7"/>
    <w:bookmarkStart w:id="48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https://quarto.org/docs/authoring/cross-references.html#theorems-and-proofs" TargetMode="External" /><Relationship Type="http://schemas.openxmlformats.org/officeDocument/2006/relationships/hyperlink" Id="rId42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quarto.org/docs/authoring/cross-references.html#theorems-and-proofs" TargetMode="External" /><Relationship Type="http://schemas.openxmlformats.org/officeDocument/2006/relationships/hyperlink" Id="rId42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2026-10-20T00:09:10Z</dcterms:created>
  <dcterms:modified xsi:type="dcterms:W3CDTF">2026-10-20T00:09:10Z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17:05:32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