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2026-10-19 17:05:32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site’s structure ultimately derives from the</w:t>
      </w:r>
      <w:r>
        <w:t xml:space="preserve"> </w:t>
      </w:r>
      <w:hyperlink r:id="rId11">
        <w:r>
          <w:rPr>
            <w:rStyle w:val="Hyperlink"/>
          </w:rPr>
          <w:t xml:space="preserve">Benjamin-Chung Lab Manual</w:t>
        </w:r>
      </w:hyperlink>
      <w:r>
        <w:t xml:space="preserve">.</w:t>
      </w:r>
      <w:r>
        <w:t xml:space="preserve"> </w:t>
      </w:r>
      <w:r>
        <w:t xml:space="preserve">For further reading, see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 </w:t>
      </w:r>
      <w:r>
        <w:t xml:space="preserve">and the</w:t>
      </w:r>
      <w:r>
        <w:t xml:space="preserve"> </w:t>
      </w:r>
      <w:hyperlink r:id="rId13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website template.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3" Target="https://github.com/Morrison-Lab/qwt" TargetMode="External" /><Relationship Type="http://schemas.openxmlformats.org/officeDocument/2006/relationships/hyperlink" Id="rId11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2026-10-20T00:11:21Z</dcterms:created>
  <dcterms:modified xsi:type="dcterms:W3CDTF">2026-10-20T00:11:21Z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17:05:32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