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del w:id="1" w:author="PR Preview" w:date="2026-01-01T00:00:00Z">
        <w:r>
          <w:delText xml:space="preserve">Last modified: 2026-10-16 02:56:58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03:10:54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6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3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3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5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4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4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5"/>
    <w:bookmarkEnd w:id="16"/>
    <w:bookmarkStart w:id="26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7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8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splits the sum,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8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20" w:name="applying-a-definition-is-a-step"/>
    <w:p>
      <w:pPr>
        <w:pStyle w:val="Heading3"/>
      </w:pPr>
      <w:r>
        <w:t xml:space="preserve">2.1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It is where the general rules meet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19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19"/>
    <w:bookmarkEnd w:id="20"/>
    <w:bookmarkStart w:id="21" w:name="using-a-fact-the-reader-has-not-seen"/>
    <w:p>
      <w:pPr>
        <w:pStyle w:val="Heading3"/>
      </w:pPr>
      <w:r>
        <w:t xml:space="preserve">2.2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1"/>
    <w:bookmarkStart w:id="25" w:name="long-derivations"/>
    <w:p>
      <w:pPr>
        <w:pStyle w:val="Heading3"/>
      </w:pPr>
      <w:r>
        <w:t xml:space="preserve">2.3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2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meets the inner derivative first</w:t>
      </w:r>
      <w:r>
        <w:t xml:space="preserve"> </w:t>
      </w:r>
      <w:r>
        <w:t xml:space="preserve">does not yet know what it is for.</w:t>
      </w:r>
    </w:p>
    <w:bookmarkEnd w:id="22"/>
    <w:bookmarkStart w:id="24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3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3"/>
    <w:bookmarkEnd w:id="24"/>
    <w:bookmarkEnd w:id="25"/>
    <w:bookmarkEnd w:id="26"/>
    <w:bookmarkStart w:id="29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7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8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8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29"/>
    <w:bookmarkStart w:id="31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0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0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p>
      <w:pPr>
        <w:pStyle w:val="FirstParagraph"/>
      </w:pPr>
      <w:r>
        <w:t xml:space="preserve">In machine learning notes, the prediction function is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and its value at the</w:t>
      </w:r>
      <w:r>
        <w:t xml:space="preserve"> </w:t>
      </w:r>
      <m:oMath>
        <m:r>
          <m:t>i</m:t>
        </m:r>
      </m:oMath>
      <w:r>
        <w:t xml:space="preserve">-th observed input is 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.</w:t>
      </w:r>
      <w:r>
        <w:t xml:space="preserve"> </w:t>
      </w:r>
      <w:r>
        <w:t xml:space="preserve">Define it once as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print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 not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wherever the fitted value appears in a loss, a residual or a risk sum.</w:t>
      </w:r>
      <w:r>
        <w:t xml:space="preserve"> </w:t>
      </w:r>
      <w:r>
        <w:t xml:space="preserve">Keep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itself is the subject,</w:t>
      </w:r>
      <w:r>
        <w:t xml:space="preserve"> </w:t>
      </w:r>
      <w:r>
        <w:t xml:space="preserve">as in</w:t>
      </w:r>
      <w:r>
        <w:t xml:space="preserve"> </w:t>
      </w:r>
      <w:r>
        <w:t xml:space="preserve">“the linear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where the output is not a prediction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such as the decision score of a support vector machine</w:t>
      </w:r>
      <w:r>
        <w:t xml:space="preserve"> </w:t>
      </w:r>
      <w:r>
        <w:t xml:space="preserve">or a vector of class probabilities.</w:t>
      </w:r>
    </w:p>
    <w:p>
      <w:pPr>
        <w:pStyle w:val="BodyText"/>
      </w:pPr>
      <w:r>
        <w:t xml:space="preserve">In the source, a document that uses the shared macros</w:t>
      </w:r>
      <w:r>
        <w:t xml:space="preserve"> </w:t>
      </w:r>
      <w:r>
        <w:t xml:space="preserve">writes the fitted value with the macro for a predicted outcome,</w:t>
      </w:r>
      <w:r>
        <w:t xml:space="preserve"> </w:t>
      </w:r>
      <w:r>
        <w:rPr>
          <w:rStyle w:val="VerbatimChar"/>
        </w:rPr>
        <w:t xml:space="preserve">\eoutvar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a document without them may write</w:t>
      </w:r>
      <w:r>
        <w:t xml:space="preserve"> </w:t>
      </w:r>
      <w:r>
        <w:rPr>
          <w:rStyle w:val="VerbatimChar"/>
        </w:rPr>
        <w:t xml:space="preserve">\hat{y}</w:t>
      </w:r>
      <w:r>
        <w:t xml:space="preserve">.</w:t>
      </w:r>
    </w:p>
    <w:bookmarkEnd w:id="31"/>
    <w:bookmarkStart w:id="34" w:name="matching-names-and-notation"/>
    <w:p>
      <w:pPr>
        <w:pStyle w:val="Heading2"/>
      </w:pPr>
      <w:r>
        <w:t xml:space="preserve">5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32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33" w:name="exm-name-matches-notation"/>
    <w:p>
      <w:pPr>
        <w:pStyle w:val="BodyText"/>
      </w:pPr>
      <w:r>
        <w:rPr>
          <w:b/>
          <w:bCs/>
        </w:rPr>
        <w:t xml:space="preserve">Example 8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33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End w:id="34"/>
    <w:bookmarkStart w:id="42" w:name="using-shared-macros"/>
    <w:p>
      <w:pPr>
        <w:pStyle w:val="Heading2"/>
      </w:pPr>
      <w:r>
        <w:t xml:space="preserve">6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35" w:name="exm-use-shared-macro"/>
    <w:p>
      <w:pPr>
        <w:pStyle w:val="BodyText"/>
      </w:pPr>
      <w:r>
        <w:rPr>
          <w:b/>
          <w:bCs/>
        </w:rPr>
        <w:t xml:space="preserve">Example 9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35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07"/>
        </w:numPr>
      </w:pPr>
      <w:r>
        <w:t xml:space="preserve">transposes</w:t>
      </w:r>
    </w:p>
    <w:p>
      <w:pPr>
        <w:pStyle w:val="Compact"/>
        <w:numPr>
          <w:ilvl w:val="0"/>
          <w:numId w:val="1007"/>
        </w:numPr>
      </w:pPr>
      <w:r>
        <w:t xml:space="preserve">hats on estimates</w:t>
      </w:r>
    </w:p>
    <w:p>
      <w:pPr>
        <w:pStyle w:val="Compact"/>
        <w:numPr>
          <w:ilvl w:val="0"/>
          <w:numId w:val="1007"/>
        </w:numPr>
      </w:pPr>
      <w:r>
        <w:t xml:space="preserve">expectations</w:t>
      </w:r>
    </w:p>
    <w:p>
      <w:pPr>
        <w:pStyle w:val="Compact"/>
        <w:numPr>
          <w:ilvl w:val="0"/>
          <w:numId w:val="1007"/>
        </w:numPr>
      </w:pPr>
      <w:r>
        <w:t xml:space="preserve">variances</w:t>
      </w:r>
    </w:p>
    <w:p>
      <w:pPr>
        <w:pStyle w:val="Compact"/>
        <w:numPr>
          <w:ilvl w:val="0"/>
          <w:numId w:val="1007"/>
        </w:numPr>
      </w:pPr>
      <w:r>
        <w:t xml:space="preserve">probabilities</w:t>
      </w:r>
    </w:p>
    <w:p>
      <w:pPr>
        <w:pStyle w:val="Compact"/>
        <w:numPr>
          <w:ilvl w:val="0"/>
          <w:numId w:val="1007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  <w:r>
        <w:t xml:space="preserve"> </w:t>
      </w:r>
      <w:r>
        <w:t xml:space="preserve">The only exception is a one-off symbol that fits no semantic category,</w:t>
      </w:r>
      <w:r>
        <w:t xml:space="preserve"> </w:t>
      </w:r>
      <w:r>
        <w:t xml:space="preserve">and the rule for Latin letters below says when that applies.</w:t>
      </w:r>
    </w:p>
    <w:bookmarkStart w:id="36" w:name="exm-semantic-macro-name"/>
    <w:p>
      <w:pPr>
        <w:pStyle w:val="BodyText"/>
      </w:pPr>
      <w:r>
        <w:rPr>
          <w:b/>
          <w:bCs/>
        </w:rPr>
        <w:t xml:space="preserve">Example 10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36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37" w:name="exm-semantic-decorator"/>
    <w:p>
      <w:pPr>
        <w:pStyle w:val="BodyText"/>
      </w:pPr>
      <w:r>
        <w:rPr>
          <w:b/>
          <w:bCs/>
        </w:rPr>
        <w:t xml:space="preserve">Example 11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37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38" w:name="exm-semantic-font"/>
    <w:p>
      <w:pPr>
        <w:pStyle w:val="BodyText"/>
      </w:pPr>
      <w:r>
        <w:rPr>
          <w:b/>
          <w:bCs/>
        </w:rPr>
        <w:t xml:space="preserve">Example 12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38"/>
    <w:p>
      <w:pPr>
        <w:pStyle w:val="BodyText"/>
      </w:pPr>
      <w:r>
        <w:t xml:space="preserve">Latin letters follow the same rule, with the same single exception for letters of either alphabet.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literal Latin or Greek letter in a math expression.</w:t>
      </w:r>
      <w:r>
        <w:t xml:space="preserve"> </w:t>
      </w:r>
      <w:r>
        <w:t xml:space="preserve">The exception is a one-off symbol that fits no semantic category.</w:t>
      </w:r>
      <w:r>
        <w:t xml:space="preserve"> </w:t>
      </w:r>
      <w:r>
        <w:t xml:space="preserve">The shared macros already name outcome variables, covariates and generic parameters,</w:t>
      </w:r>
      <w:r>
        <w:t xml:space="preserve"> </w:t>
      </w:r>
      <w:r>
        <w:t xml:space="preserve">so a one-off should almost never be needed.</w:t>
      </w:r>
      <w:r>
        <w:t xml:space="preserve"> </w:t>
      </w:r>
      <w:r>
        <w:t xml:space="preserve">When a symbol has a category but no macro, add the macro to the shared file first.</w:t>
      </w:r>
      <w:r>
        <w:t xml:space="preserve"> </w:t>
      </w:r>
      <w:r>
        <w:t xml:space="preserve">New macros always go in the group’s shared macros repository,</w:t>
      </w:r>
      <w:r>
        <w:t xml:space="preserve"> </w:t>
      </w:r>
      <w:r>
        <w:t xml:space="preserve">never in a repository that applies them,</w:t>
      </w:r>
      <w:r>
        <w:t xml:space="preserve"> </w:t>
      </w:r>
      <w:r>
        <w:t xml:space="preserve">unless that repository explicitly overrides the default meaning of one specific macro.</w:t>
      </w:r>
    </w:p>
    <w:p>
      <w:pPr>
        <w:pStyle w:val="BodyText"/>
      </w:pPr>
      <w:r>
        <w:t xml:space="preserve">Latin letters with a fixed role show the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39" w:name="exm-semantic-latin-letter"/>
    <w:p>
      <w:pPr>
        <w:pStyle w:val="BodyText"/>
      </w:pPr>
      <w:r>
        <w:rPr>
          <w:b/>
          <w:bCs/>
        </w:rPr>
        <w:t xml:space="preserve">Example 13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39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40" w:name="exm-named-quantity"/>
    <w:p>
      <w:pPr>
        <w:pStyle w:val="BodyText"/>
      </w:pPr>
      <w:r>
        <w:rPr>
          <w:b/>
          <w:bCs/>
        </w:rPr>
        <w:t xml:space="preserve">Example 14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40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41" w:name="exm-semantic-delimiter"/>
    <w:p>
      <w:pPr>
        <w:pStyle w:val="BodyText"/>
      </w:pPr>
      <w:r>
        <w:rPr>
          <w:b/>
          <w:bCs/>
        </w:rPr>
        <w:t xml:space="preserve">Example 15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41"/>
    <w:bookmarkEnd w:id="42"/>
    <w:bookmarkStart w:id="45" w:name="making-expressions-concise"/>
    <w:p>
      <w:pPr>
        <w:pStyle w:val="Heading2"/>
      </w:pPr>
      <w:r>
        <w:t xml:space="preserve">7 Making expressions concise</w:t>
      </w:r>
    </w:p>
    <w:p>
      <w:pPr>
        <w:pStyle w:val="FirstParagraph"/>
      </w:pPr>
      <w:r>
        <w:t xml:space="preserve">Make each expression as concise as possible.</w:t>
      </w:r>
      <w:r>
        <w:t xml:space="preserve"> </w:t>
      </w:r>
      <w:r>
        <w:t xml:space="preserve">The less clutter an expression has, the easier it is to read.</w:t>
      </w:r>
      <w:r>
        <w:t xml:space="preserve"> </w:t>
      </w:r>
      <w:r>
        <w:t xml:space="preserve">This is one case of</w:t>
      </w:r>
      <w:r>
        <w:t xml:space="preserve"> </w:t>
      </w:r>
      <w:hyperlink r:id="rId43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</w:p>
    <w:p>
      <w:pPr>
        <w:pStyle w:val="BodyText"/>
      </w:pPr>
      <w:r>
        <w:t xml:space="preserve">Before you finish a definition, theorem or proof,</w:t>
      </w:r>
      <w:r>
        <w:t xml:space="preserve"> </w:t>
      </w:r>
      <w:r>
        <w:t xml:space="preserve">scan it for a sub-expression that is written out in full</w:t>
      </w:r>
      <w:r>
        <w:t xml:space="preserve"> </w:t>
      </w:r>
      <w:r>
        <w:t xml:space="preserve">more than once,</w:t>
      </w:r>
      <w:r>
        <w:t xml:space="preserve"> </w:t>
      </w:r>
      <w:r>
        <w:t xml:space="preserve">or that is a conceptually coherent chunk</w:t>
      </w:r>
      <w:r>
        <w:t xml:space="preserve"> </w:t>
      </w:r>
      <w:r>
        <w:t xml:space="preserve">even if it appears only once,</w:t>
      </w:r>
      <w:r>
        <w:t xml:space="preserve"> </w:t>
      </w:r>
      <w:r>
        <w:t xml:space="preserve">such as the prediction error (the fitted value minus the outcome)</w:t>
      </w:r>
      <w:r>
        <w:t xml:space="preserve"> </w:t>
      </w:r>
      <w:r>
        <w:t xml:space="preserve">or the loss of a prediction on one observation.</w:t>
      </w:r>
      <w:r>
        <w:t xml:space="preserve"> </w:t>
      </w:r>
      <w:r>
        <w:t xml:space="preserve">Give the chunk a name and a macro,</w:t>
      </w:r>
      <w:r>
        <w:t xml:space="preserve"> </w:t>
      </w:r>
      <w:r>
        <w:t xml:space="preserve">and write the macro everywhere the chunk appears.</w:t>
      </w:r>
    </w:p>
    <w:bookmarkStart w:id="44" w:name="exm-concise-expression"/>
    <w:p>
      <w:pPr>
        <w:pStyle w:val="BodyText"/>
      </w:pPr>
      <w:r>
        <w:rPr>
          <w:b/>
          <w:bCs/>
        </w:rPr>
        <w:t xml:space="preserve">Example 16 (Naming a repeated chunk)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loss is $\frac{1}{n} \sum_{i=1}^n \paren{\eoutvar_i - \outvar_i}^2$, and its derivative is $\frac{2}{n} \sum_{i=1}^n \paren{\eoutvar_i - \outvar_i} \predvar_i$.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loss is $\frac{1}{n} \sum_{i=1}^n \prederr_i^2$, and its derivative is $\frac{2}{n} \sum_{i=1}^n \prederr_i \predvar_i$.</w:t>
      </w:r>
    </w:p>
    <w:p>
      <w:pPr>
        <w:pStyle w:val="FirstParagraph"/>
      </w:pPr>
      <w:r>
        <w:t xml:space="preserve">Both versions print the same quantities.</w:t>
      </w:r>
      <w:r>
        <w:t xml:space="preserve"> </w:t>
      </w:r>
      <w:r>
        <w:t xml:space="preserve">The ❌ version writes the difference</w:t>
      </w:r>
      <w:r>
        <w:t xml:space="preserve"> </w:t>
      </w:r>
      <w:r>
        <w:rPr>
          <w:rStyle w:val="VerbatimChar"/>
        </w:rPr>
        <w:t xml:space="preserve">\eoutvar_i - \outvar_i</w:t>
      </w:r>
      <w:r>
        <w:t xml:space="preserve"> </w:t>
      </w:r>
      <w:r>
        <w:t xml:space="preserve">out twice.</w:t>
      </w:r>
      <w:r>
        <w:t xml:space="preserve"> </w:t>
      </w:r>
      <w:r>
        <w:t xml:space="preserve">The ✅ version names it once, as the prediction error,</w:t>
      </w:r>
      <w:r>
        <w:t xml:space="preserve"> </w:t>
      </w:r>
      <w:r>
        <w:t xml:space="preserve">and each formula shows at a glance what it is built from.</w:t>
      </w:r>
    </w:p>
    <w:bookmarkEnd w:id="44"/>
    <w:p>
      <w:pPr>
        <w:pStyle w:val="BodyText"/>
      </w:pPr>
      <w:r>
        <w:t xml:space="preserve">Add the macro to the shared macro file before you use it,</w:t>
      </w:r>
      <w:r>
        <w:t xml:space="preserve"> </w:t>
      </w:r>
      <w:r>
        <w:t xml:space="preserve">never as a local macro in one document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record its meaning in that file’s</w:t>
      </w:r>
      <w:r>
        <w:t xml:space="preserve"> </w:t>
      </w:r>
      <w:r>
        <w:rPr>
          <w:rStyle w:val="VerbatimChar"/>
        </w:rPr>
        <w:t xml:space="preserve">interpretations.tsv</w:t>
      </w:r>
      <w:r>
        <w:t xml:space="preserve">.</w:t>
      </w:r>
    </w:p>
    <w:bookmarkEnd w:id="45"/>
    <w:bookmarkStart w:id="47" w:name="writing-dot-products"/>
    <w:p>
      <w:pPr>
        <w:pStyle w:val="Heading2"/>
      </w:pPr>
      <w:r>
        <w:t xml:space="preserve">8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46" w:name="exm-dot-product"/>
    <w:p>
      <w:pPr>
        <w:pStyle w:val="BodyText"/>
      </w:pPr>
      <w:r>
        <w:rPr>
          <w:b/>
          <w:bCs/>
        </w:rPr>
        <w:t xml:space="preserve">Example 17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46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09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09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09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47"/>
    <w:bookmarkStart w:id="50" w:name="writing-out-notational-shorthands"/>
    <w:p>
      <w:pPr>
        <w:pStyle w:val="Heading2"/>
      </w:pPr>
      <w:r>
        <w:t xml:space="preserve">9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48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49" w:name="exm-notational-shorthand"/>
    <w:p>
      <w:pPr>
        <w:pStyle w:val="BodyText"/>
      </w:pPr>
      <w:r>
        <w:rPr>
          <w:b/>
          <w:bCs/>
        </w:rPr>
        <w:t xml:space="preserve">Example 18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49"/>
    <w:bookmarkEnd w:id="50"/>
    <w:bookmarkStart w:id="52" w:name="stating-assumptions-before-using-them"/>
    <w:p>
      <w:pPr>
        <w:pStyle w:val="Heading2"/>
      </w:pPr>
      <w:r>
        <w:t xml:space="preserve">10 Stating assumptions before using them</w:t>
      </w:r>
    </w:p>
    <w:p>
      <w:pPr>
        <w:pStyle w:val="FirstParagraph"/>
      </w:pPr>
      <w:r>
        <w:t xml:space="preserve">State each assumption before the step that uses it.</w:t>
      </w:r>
      <w:r>
        <w:t xml:space="preserve"> </w:t>
      </w:r>
      <w:r>
        <w:t xml:space="preserve">A reader processes a derivation line by line,</w:t>
      </w:r>
      <w:r>
        <w:t xml:space="preserve"> </w:t>
      </w:r>
      <w:r>
        <w:t xml:space="preserve">and a condition that arrives after the line it governs</w:t>
      </w:r>
      <w:r>
        <w:t xml:space="preserve"> </w:t>
      </w:r>
      <w:r>
        <w:t xml:space="preserve">forces them to go back and reread that line with the condition in mind.</w:t>
      </w:r>
      <w:r>
        <w:t xml:space="preserve"> </w:t>
      </w:r>
      <w:r>
        <w:t xml:space="preserve">A first-time reader may not realize the line was incomplete,</w:t>
      </w:r>
      <w:r>
        <w:t xml:space="preserve"> </w:t>
      </w:r>
      <w:r>
        <w:t xml:space="preserve">and may conclude that the step is wrong or unjustified.</w:t>
      </w:r>
    </w:p>
    <w:p>
      <w:pPr>
        <w:pStyle w:val="BodyText"/>
      </w:pPr>
      <w:r>
        <w:t xml:space="preserve">This covers every kind of condition:</w:t>
      </w:r>
    </w:p>
    <w:p>
      <w:pPr>
        <w:pStyle w:val="Compact"/>
        <w:numPr>
          <w:ilvl w:val="0"/>
          <w:numId w:val="1010"/>
        </w:numPr>
      </w:pPr>
      <w:r>
        <w:t xml:space="preserve">a restriction on a variable (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0"/>
        </w:numPr>
      </w:pPr>
      <w:r>
        <w:t xml:space="preserve">a hypothesis of a theorem;</w:t>
      </w:r>
    </w:p>
    <w:p>
      <w:pPr>
        <w:pStyle w:val="Compact"/>
        <w:numPr>
          <w:ilvl w:val="0"/>
          <w:numId w:val="1010"/>
        </w:numPr>
      </w:pPr>
      <w:r>
        <w:t xml:space="preserve">a case split;</w:t>
      </w:r>
    </w:p>
    <w:p>
      <w:pPr>
        <w:pStyle w:val="Compact"/>
        <w:numPr>
          <w:ilvl w:val="0"/>
          <w:numId w:val="1010"/>
        </w:numPr>
      </w:pPr>
      <w:r>
        <w:t xml:space="preserve">a fact that a step relies on.</w:t>
      </w:r>
    </w:p>
    <w:p>
      <w:pPr>
        <w:pStyle w:val="FirstParagraph"/>
      </w:pPr>
      <w:r>
        <w:t xml:space="preserve">Introduce the variable and its constraint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then write the steps that need the constraint.</w:t>
      </w:r>
      <w:r>
        <w:t xml:space="preserve"> </w:t>
      </w:r>
      <w:r>
        <w:t xml:space="preserve">When a step uses a fact proved earlier,</w:t>
      </w:r>
      <w:r>
        <w:t xml:space="preserve"> </w:t>
      </w:r>
      <w:r>
        <w:t xml:space="preserve">cite it in the justification on that line.</w:t>
      </w:r>
    </w:p>
    <w:bookmarkStart w:id="51" w:name="exm-assumptions-first"/>
    <w:p>
      <w:pPr>
        <w:pStyle w:val="BodyText"/>
      </w:pPr>
      <w:r>
        <w:rPr>
          <w:b/>
          <w:bCs/>
        </w:rPr>
        <w:t xml:space="preserve">Example 19 (Stating the restriction on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before using it)</w:t>
      </w:r>
      <w:r>
        <w:t xml:space="preserve"> </w:t>
      </w:r>
      <w:r>
        <w:t xml:space="preserve">To show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we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near 2 other than 2 itself.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every 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. Then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, so its square is positive)</m:t>
              </m:r>
            </m:e>
          </m:eqArr>
        </m:oMath>
      </m:oMathPara>
    </w:p>
    <w:p>
      <w:pPr>
        <w:pStyle w:val="FirstParagraph"/>
      </w:pPr>
      <w:r>
        <w:t xml:space="preserve">In the ❌ version, the second line is false 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reader learns this only from the note at its end.</w:t>
      </w:r>
      <w:r>
        <w:t xml:space="preserve"> </w:t>
      </w:r>
      <w:r>
        <w:t xml:space="preserve">In the ✅ version,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 </w:t>
      </w:r>
      <w:r>
        <w:t xml:space="preserve">comes first,</w:t>
      </w:r>
      <w:r>
        <w:t xml:space="preserve"> </w:t>
      </w:r>
      <w:r>
        <w:t xml:space="preserve">so the reader reads each line already knowing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covers,</w:t>
      </w:r>
      <w:r>
        <w:t xml:space="preserve"> </w:t>
      </w:r>
      <w:r>
        <w:t xml:space="preserve">and the justification says exactly where the condition is used.</w:t>
      </w:r>
    </w:p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7" Type="http://schemas.openxmlformats.org/officeDocument/2006/relationships/hyperlink" Target="citations-evidence.qmd#trivial-and-trivially" TargetMode="External"/><Relationship Id="rId32" Type="http://schemas.openxmlformats.org/officeDocument/2006/relationships/hyperlink" Target="defining-terms.qmd#guidelines-for-defining-terms" TargetMode="External"/><Relationship Id="rId48" Type="http://schemas.openxmlformats.org/officeDocument/2006/relationships/hyperlink" Target="https://morrison-lab.github.io/mds/notation.html#sec-notational-shorthands" TargetMode="External"/><Relationship Id="rId27" Type="http://schemas.openxmlformats.org/officeDocument/2006/relationships/hyperlink" Target="notation.qmd#one-operation-per-step" TargetMode="External"/><Relationship Id="rId43" Type="http://schemas.openxmlformats.org/officeDocument/2006/relationships/hyperlink" Target="teaching.qmd#build-every-unit-from-smaller-atomic-units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citations-evidence.qmd#trivial-and-trivially" TargetMode="External"/><Relationship Id="rId32" Type="http://schemas.openxmlformats.org/officeDocument/2006/relationships/hyperlink" Target="defining-terms.qmd#guidelines-for-defining-terms" TargetMode="External"/><Relationship Id="rId48" Type="http://schemas.openxmlformats.org/officeDocument/2006/relationships/hyperlink" Target="https://morrison-lab.github.io/mds/notation.html#sec-notational-shorthands" TargetMode="External"/><Relationship Id="rId27" Type="http://schemas.openxmlformats.org/officeDocument/2006/relationships/hyperlink" Target="notation.qmd#one-operation-per-step" TargetMode="External"/><Relationship Id="rId43" Type="http://schemas.openxmlformats.org/officeDocument/2006/relationships/hyperlink" Target="teaching.qmd#build-every-unit-from-smaller-atomic-uni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2026-10-16T10:14:48Z</dcterms:created>
  <dcterms:modified xsi:type="dcterms:W3CDTF">2026-10-16T10:14:48Z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03:10:54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