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2026-10-09 01:54:54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5" w:name="avoiding-double-inequalities"/>
    <w:p>
      <w:pPr>
        <w:pStyle w:val="Heading2"/>
      </w:pPr>
      <w:r>
        <w:t xml:space="preserve">1 Avoiding double inequalities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i/>
          <w:i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2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2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4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3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3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4"/>
    <w:bookmarkEnd w:id="15"/>
    <w:bookmarkStart w:id="25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6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7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7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8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8"/>
    <w:bookmarkEnd w:id="19"/>
    <w:bookmarkStart w:id="20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0"/>
    <w:bookmarkStart w:id="24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1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1"/>
    <w:bookmarkStart w:id="23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2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2"/>
    <w:bookmarkEnd w:id="23"/>
    <w:bookmarkEnd w:id="24"/>
    <w:bookmarkEnd w:id="25"/>
    <w:bookmarkStart w:id="28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7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7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8"/>
    <w:bookmarkStart w:id="30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29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29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End w:id="30"/>
    <w:bookmarkStart w:id="33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2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3"/>
    <w:bookmarkStart w:id="40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4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4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5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5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6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6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A set whose symbol is fixed by convention and always means the same set,</w:t>
      </w:r>
      <w:r>
        <w:t xml:space="preserve"> </w:t>
      </w:r>
      <w:r>
        <w:t xml:space="preserve">such as the real numbers, gets one shared macro,</w:t>
      </w:r>
      <w:r>
        <w:t xml:space="preserve"> </w:t>
      </w:r>
      <w:r>
        <w:rPr>
          <w:rStyle w:val="VerbatimChar"/>
        </w:rPr>
        <w:t xml:space="preserve">\bbR</w:t>
      </w:r>
      <w:r>
        <w:t xml:space="preserve">,</w:t>
      </w:r>
      <w:r>
        <w:t xml:space="preserve"> </w:t>
      </w:r>
      <w:r>
        <w:t xml:space="preserve">so every document draws it the same way.</w:t>
      </w:r>
      <w:r>
        <w:t xml:space="preserve"> </w:t>
      </w:r>
      <w:r>
        <w:t xml:space="preserve">That differs from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, whose letter stands for a different quantity in each document.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7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$\bbR$ to $\bbR$.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8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8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39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39"/>
    <w:bookmarkEnd w:id="40"/>
    <w:bookmarkStart w:id="42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1" w:name="exm-dot-product"/>
    <w:p>
      <w:pPr>
        <w:pStyle w:val="BodyText"/>
      </w:pPr>
      <w:r>
        <w:rPr>
          <w:b/>
          <w:bCs/>
        </w:rPr>
        <w:t xml:space="preserve">Example 15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1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2"/>
    <w:bookmarkStart w:id="45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4" w:name="exm-notational-shorthand"/>
    <w:p>
      <w:pPr>
        <w:pStyle w:val="BodyText"/>
      </w:pPr>
      <w:r>
        <w:rPr>
          <w:b/>
          <w:bCs/>
        </w:rPr>
        <w:t xml:space="preserve">Example 16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6" Target="citations-evidence.qmd#trivial-and-trivially" TargetMode="External" /><Relationship Type="http://schemas.openxmlformats.org/officeDocument/2006/relationships/hyperlink" Id="rId31" Target="defining-terms.qmd#guidelines-for-defining-terms" TargetMode="External" /><Relationship Type="http://schemas.openxmlformats.org/officeDocument/2006/relationships/hyperlink" Id="rId43" Target="https://morrison-lab.github.io/mds/notation.html#sec-notational-shorthands" TargetMode="External" /><Relationship Type="http://schemas.openxmlformats.org/officeDocument/2006/relationships/hyperlink" Id="rId26" Target="notation.qmd#one-operation-per-ste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citations-evidence.qmd#trivial-and-trivially" TargetMode="External" /><Relationship Type="http://schemas.openxmlformats.org/officeDocument/2006/relationships/hyperlink" Id="rId31" Target="defining-terms.qmd#guidelines-for-defining-terms" TargetMode="External" /><Relationship Type="http://schemas.openxmlformats.org/officeDocument/2006/relationships/hyperlink" Id="rId43" Target="https://morrison-lab.github.io/mds/notation.html#sec-notational-shorthands" TargetMode="External" /><Relationship Type="http://schemas.openxmlformats.org/officeDocument/2006/relationships/hyperlink" Id="rId26" Target="notation.qmd#one-operation-per-ste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2026-10-09T08:58:59Z</dcterms:created>
  <dcterms:modified xsi:type="dcterms:W3CDTF">2026-10-09T08:58:59Z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01:54:54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