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del w:id="1" w:author="PR Preview" w:date="2026-01-01T00:00:00Z">
        <w:r>
          <w:delText xml:space="preserve">Last modified: 2026-10-17 16:26:16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01:00:35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6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splits the sum,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20" w:name="applying-a-definition-is-a-step"/>
    <w:p>
      <w:pPr>
        <w:pStyle w:val="Heading3"/>
      </w:pPr>
      <w:r>
        <w:t xml:space="preserve">2.1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It is where the general rules meet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19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19"/>
    <w:bookmarkEnd w:id="20"/>
    <w:bookmarkStart w:id="21" w:name="using-a-fact-the-reader-has-not-seen"/>
    <w:p>
      <w:pPr>
        <w:pStyle w:val="Heading3"/>
      </w:pPr>
      <w:r>
        <w:t xml:space="preserve">2.2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1"/>
    <w:bookmarkStart w:id="25" w:name="long-derivations"/>
    <w:p>
      <w:pPr>
        <w:pStyle w:val="Heading3"/>
      </w:pPr>
      <w:r>
        <w:t xml:space="preserve">2.3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2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meets the inner derivative first</w:t>
      </w:r>
      <w:r>
        <w:t xml:space="preserve"> </w:t>
      </w:r>
      <w:r>
        <w:t xml:space="preserve">does not yet know what it is for.</w:t>
      </w:r>
    </w:p>
    <w:bookmarkEnd w:id="22"/>
    <w:bookmarkStart w:id="24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3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3"/>
    <w:bookmarkEnd w:id="24"/>
    <w:bookmarkEnd w:id="25"/>
    <w:bookmarkEnd w:id="26"/>
    <w:bookmarkStart w:id="29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8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8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29"/>
    <w:bookmarkStart w:id="31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0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0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1"/>
    <w:bookmarkStart w:id="36" w:name="types-of-functions-and-procedures"/>
    <w:p>
      <w:pPr>
        <w:pStyle w:val="Heading2"/>
      </w:pPr>
      <w:r>
        <w:t xml:space="preserve">5 Types of functions and procedures</w:t>
      </w:r>
    </w:p>
    <w:p>
      <w:pPr>
        <w:pStyle w:val="FirstParagraph"/>
      </w:pPr>
      <w:r>
        <w:t xml:space="preserve">Name the type of every</w:t>
      </w:r>
      <w:r>
        <w:t xml:space="preserve"> </w:t>
      </w:r>
      <w:hyperlink r:id="rId3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procedure when you define it:</w:t>
      </w:r>
    </w:p>
    <w:p>
      <w:pPr>
        <w:pStyle w:val="Compact"/>
        <w:numPr>
          <w:ilvl w:val="0"/>
          <w:numId w:val="1007"/>
        </w:numPr>
      </w:pPr>
      <w:r>
        <w:t xml:space="preserve">the set it takes its argument from (its</w:t>
      </w:r>
      <w:r>
        <w:t xml:space="preserve"> </w:t>
      </w:r>
      <w:hyperlink r:id="rId33">
        <w:r>
          <w:rPr>
            <w:rStyle w:val="Hyperlink"/>
          </w:rPr>
          <w:t xml:space="preserve">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the set its values lie in (its</w:t>
      </w:r>
      <w:r>
        <w:t xml:space="preserve"> </w:t>
      </w:r>
      <w:hyperlink r:id="rId34">
        <w:r>
          <w:rPr>
            <w:rStyle w:val="Hyperlink"/>
          </w:rPr>
          <w:t xml:space="preserve">codomain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for each input and output, what kind of mathematical object it is</w:t>
      </w:r>
    </w:p>
    <w:p>
      <w:pPr>
        <w:pStyle w:val="FirstParagraph"/>
      </w:pPr>
      <w:r>
        <w:t xml:space="preserve">Say</w:t>
      </w:r>
      <w:r>
        <w:t xml:space="preserve"> </w:t>
      </w:r>
      <w:r>
        <w:t xml:space="preserve">“function”</w:t>
      </w:r>
      <w:r>
        <w:t xml:space="preserve">, not</w:t>
      </w:r>
      <w:r>
        <w:t xml:space="preserve"> </w:t>
      </w:r>
      <w:r>
        <w:t xml:space="preserve">“rule”</w:t>
      </w:r>
      <w:r>
        <w:t xml:space="preserve"> </w:t>
      </w:r>
      <w:r>
        <w:t xml:space="preserve">or</w:t>
      </w:r>
      <w:r>
        <w:t xml:space="preserve"> </w:t>
      </w:r>
      <w:r>
        <w:t xml:space="preserve">“map”</w:t>
      </w:r>
      <w:r>
        <w:t xml:space="preserve">.</w:t>
      </w:r>
    </w:p>
    <w:p>
      <w:pPr>
        <w:pStyle w:val="BodyText"/>
      </w:pPr>
      <w:r>
        <w:t xml:space="preserve">A procedure that takes several inputs is a function of all of them,</w:t>
      </w:r>
      <w:r>
        <w:t xml:space="preserve"> </w:t>
      </w:r>
      <w:r>
        <w:t xml:space="preserve">so list each input with its type.</w:t>
      </w:r>
      <w:r>
        <w:t xml:space="preserve"> </w:t>
      </w:r>
      <w:r>
        <w:t xml:space="preserve">When an output is itself a function,</w:t>
      </w:r>
      <w:r>
        <w:t xml:space="preserve"> </w:t>
      </w:r>
      <w:r>
        <w:t xml:space="preserve">say so and give its domain and codomain too.</w:t>
      </w:r>
    </w:p>
    <w:p>
      <w:pPr>
        <w:pStyle w:val="BodyText"/>
      </w:pPr>
      <w:r>
        <w:t xml:space="preserve">A function’s argument is not part of what specifies the function.</w:t>
      </w:r>
      <w:r>
        <w:t xml:space="preserve"> </w:t>
      </w:r>
      <w:r>
        <w:t xml:space="preserve">Give the argument in the definition, as the domain,</w:t>
      </w:r>
      <w:r>
        <w:t xml:space="preserve"> </w:t>
      </w:r>
      <w:r>
        <w:t xml:space="preserve">and list only the other inputs as what specifies the function.</w:t>
      </w:r>
    </w:p>
    <w:bookmarkStart w:id="35" w:name="exm-function-types"/>
    <w:p>
      <w:pPr>
        <w:pStyle w:val="BodyText"/>
      </w:pPr>
      <w:r>
        <w:rPr>
          <w:b/>
          <w:bCs/>
        </w:rPr>
        <w:t xml:space="preserve">Example 8 (Typing a procedure’s inputs and output)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 fitting procedure is a rule that takes data</w:t>
      </w:r>
      <w:r>
        <w:t xml:space="preserve"> </w:t>
      </w:r>
      <w:r>
        <w:t xml:space="preserve">and produces a prediction.</w:t>
      </w:r>
    </w:p>
    <w:p>
      <w:pPr>
        <w:pStyle w:val="BlockText"/>
      </w:pPr>
      <w:r>
        <w:t xml:space="preserve">✅ A fitting procedure is a function</w:t>
      </w:r>
      <w:r>
        <w:t xml:space="preserve"> </w:t>
      </w:r>
      <w:r>
        <w:t xml:space="preserve">from data sets to fitted models.</w:t>
      </w:r>
      <w:r>
        <w:t xml:space="preserve"> </w:t>
      </w:r>
      <w:r>
        <w:t xml:space="preserve">A fitted model is a function</w:t>
      </w:r>
      <w:r>
        <w:t xml:space="preserve"> </w:t>
      </w:r>
      <w:r>
        <w:t xml:space="preserve">from covariate values to predicted outcomes.</w:t>
      </w:r>
    </w:p>
    <w:p>
      <w:pPr>
        <w:pStyle w:val="FirstParagraph"/>
      </w:pPr>
      <w:r>
        <w:t xml:space="preserve">The ❌ version leaves four types unsaid.</w:t>
      </w:r>
      <w:r>
        <w:t xml:space="preserve"> </w:t>
      </w:r>
      <w:r>
        <w:t xml:space="preserve">“Rule”</w:t>
      </w:r>
      <w:r>
        <w:t xml:space="preserve"> </w:t>
      </w:r>
      <w:r>
        <w:t xml:space="preserve">does not say that the procedure is a function.</w:t>
      </w:r>
      <w:r>
        <w:t xml:space="preserve"> </w:t>
      </w:r>
      <w:r>
        <w:t xml:space="preserve">“Data”</w:t>
      </w:r>
      <w:r>
        <w:t xml:space="preserve"> </w:t>
      </w:r>
      <w:r>
        <w:t xml:space="preserve">does not say that the input is a data set.</w:t>
      </w:r>
      <w:r>
        <w:t xml:space="preserve"> </w:t>
      </w:r>
      <w:r>
        <w:t xml:space="preserve">“A prediction”</w:t>
      </w:r>
      <w:r>
        <w:t xml:space="preserve"> </w:t>
      </w:r>
      <w:r>
        <w:t xml:space="preserve">is a single predicted outcome,</w:t>
      </w:r>
      <w:r>
        <w:t xml:space="preserve"> </w:t>
      </w:r>
      <w:r>
        <w:t xml:space="preserve">so it does not say that the output is a fitted model.</w:t>
      </w:r>
      <w:r>
        <w:t xml:space="preserve"> </w:t>
      </w:r>
      <w:r>
        <w:t xml:space="preserve">Nor does it say that a fitted model is itself a function,</w:t>
      </w:r>
      <w:r>
        <w:t xml:space="preserve"> </w:t>
      </w:r>
      <w:r>
        <w:t xml:space="preserve">which makes a prediction only when given a covariate value.</w:t>
      </w:r>
      <w:r>
        <w:t xml:space="preserve"> </w:t>
      </w:r>
      <w:r>
        <w:t xml:space="preserve">The ✅ version states each type,</w:t>
      </w:r>
      <w:r>
        <w:t xml:space="preserve"> </w:t>
      </w:r>
      <w:r>
        <w:t xml:space="preserve">so a reader can check that the output of one</w:t>
      </w:r>
      <w:r>
        <w:t xml:space="preserve"> </w:t>
      </w:r>
      <w:r>
        <w:t xml:space="preserve">is an acceptable input to the next.</w:t>
      </w:r>
    </w:p>
    <w:p>
      <w:pPr>
        <w:pStyle w:val="BlockText"/>
      </w:pPr>
      <w:r>
        <w:t xml:space="preserve">❌ A fitting procedure is specified by the data set it is fitted to,</w:t>
      </w:r>
      <w:r>
        <w:t xml:space="preserve"> </w:t>
      </w:r>
      <w:r>
        <w:t xml:space="preserve">its model family and its objective function.</w:t>
      </w:r>
    </w:p>
    <w:p>
      <w:pPr>
        <w:pStyle w:val="BlockText"/>
      </w:pPr>
      <w:r>
        <w:t xml:space="preserve">✅ A fitting procedure is specified by its model family and its objective function.</w:t>
      </w:r>
      <w:r>
        <w:t xml:space="preserve"> </w:t>
      </w:r>
      <w:r>
        <w:t xml:space="preserve">It takes a data set as its argument.</w:t>
      </w:r>
    </w:p>
    <w:p>
      <w:pPr>
        <w:pStyle w:val="FirstParagraph"/>
      </w:pPr>
      <w:r>
        <w:t xml:space="preserve">The data set is the argument of the fitting procedure,</w:t>
      </w:r>
      <w:r>
        <w:t xml:space="preserve"> </w:t>
      </w:r>
      <w:r>
        <w:t xml:space="preserve">so it is not one of the inputs that specify the procedure.</w:t>
      </w:r>
    </w:p>
    <w:bookmarkEnd w:id="35"/>
    <w:p>
      <w:pPr>
        <w:pStyle w:val="BodyText"/>
      </w:pPr>
      <w:r>
        <w:t xml:space="preserve">Check each use against the stated types:</w:t>
      </w:r>
      <w:r>
        <w:t xml:space="preserve"> </w:t>
      </w:r>
      <w:r>
        <w:t xml:space="preserve">a function applied to something outside its domain,</w:t>
      </w:r>
      <w:r>
        <w:t xml:space="preserve"> </w:t>
      </w:r>
      <w:r>
        <w:t xml:space="preserve">or a value described with the wrong type,</w:t>
      </w:r>
      <w:r>
        <w:t xml:space="preserve"> </w:t>
      </w:r>
      <w:r>
        <w:t xml:space="preserve">is an error even when the notation looks right.</w:t>
      </w:r>
    </w:p>
    <w:bookmarkEnd w:id="36"/>
    <w:bookmarkStart w:id="38" w:name="random-variables-and-their-values"/>
    <w:p>
      <w:pPr>
        <w:pStyle w:val="Heading2"/>
      </w:pPr>
      <w:r>
        <w:t xml:space="preserve">6 Random variables and their values</w:t>
      </w:r>
    </w:p>
    <w:p>
      <w:pPr>
        <w:pStyle w:val="FirstParagraph"/>
      </w:pPr>
      <w:r>
        <w:t xml:space="preserve">A random variable and a value that it takes are different objects.</w:t>
      </w:r>
      <w:r>
        <w:t xml:space="preserve"> </w:t>
      </w:r>
      <w:r>
        <w:t xml:space="preserve">Before the data are collected, the outcome is a random variable;</w:t>
      </w:r>
      <w:r>
        <w:t xml:space="preserve"> </w:t>
      </w:r>
      <w:r>
        <w:t xml:space="preserve">after, it is a number.</w:t>
      </w:r>
      <w:r>
        <w:t xml:space="preserve"> </w:t>
      </w:r>
      <w:r>
        <w:t xml:space="preserve">Statements about the two have different meanings.</w:t>
      </w:r>
      <w:r>
        <w:t xml:space="preserve"> </w:t>
      </w:r>
      <w:r>
        <w:t xml:space="preserve">Write them with different symbols.</w:t>
      </w:r>
    </w:p>
    <w:p>
      <w:pPr>
        <w:pStyle w:val="BodyText"/>
      </w:pPr>
      <w:r>
        <w:t xml:space="preserve">Use a capital letter for the random variable</w:t>
      </w:r>
      <w:r>
        <w:t xml:space="preserve"> </w:t>
      </w:r>
      <w:r>
        <w:t xml:space="preserve">and the matching lowercase letter for a value that it takes: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the random variable, such as the outcome of a coin flip before the flip;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one value of</w:t>
      </w:r>
      <w:r>
        <w:t xml:space="preserve"> </w:t>
      </w:r>
      <m:oMath>
        <m:r>
          <m:t>Y</m:t>
        </m:r>
      </m:oMath>
      <w:r>
        <w:t xml:space="preserve">, such as 1 after the flip lands heads;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random variable for the</w:t>
      </w:r>
      <w:r>
        <w:t xml:space="preserve"> </w:t>
      </w:r>
      <m:oMath>
        <m:r>
          <m:t>i</m:t>
        </m:r>
      </m:oMath>
      <w:r>
        <w:t xml:space="preserve">-th observation;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that observation’s observed value.</w:t>
      </w:r>
    </w:p>
    <w:p>
      <w:pPr>
        <w:pStyle w:val="FirstParagraph"/>
      </w:pPr>
      <w:r>
        <w:t xml:space="preserve">State the convention where you first use the symbols.</w:t>
      </w:r>
      <w:r>
        <w:t xml:space="preserve"> </w:t>
      </w:r>
      <w:r>
        <w:t xml:space="preserve">Keep it in every later section.</w:t>
      </w:r>
      <w:r>
        <w:t xml:space="preserve"> </w:t>
      </w:r>
      <w:r>
        <w:t xml:space="preserve">Do not switch between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the same quantity</w:t>
      </w:r>
      <w:r>
        <w:t xml:space="preserve"> </w:t>
      </w:r>
      <w:r>
        <w:t xml:space="preserve">unless the meaning changes from</w:t>
      </w:r>
      <w:r>
        <w:t xml:space="preserve"> </w:t>
      </w:r>
      <w:r>
        <w:t xml:space="preserve">“before the data”</w:t>
      </w:r>
      <w:r>
        <w:t xml:space="preserve"> </w:t>
      </w:r>
      <w:r>
        <w:t xml:space="preserve">to</w:t>
      </w:r>
      <w:r>
        <w:t xml:space="preserve"> </w:t>
      </w:r>
      <w:r>
        <w:t xml:space="preserve">“after the data”</w:t>
      </w:r>
      <w:r>
        <w:t xml:space="preserve">.</w:t>
      </w:r>
    </w:p>
    <w:bookmarkStart w:id="37" w:name="exm-random-variable-vs-value"/>
    <w:p>
      <w:pPr>
        <w:pStyle w:val="BodyText"/>
      </w:pPr>
      <w:r>
        <w:rPr>
          <w:b/>
          <w:bCs/>
        </w:rPr>
        <w:t xml:space="preserve">Example 9 (Writing a random variable and its value)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✅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❌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BlockText"/>
      </w:pPr>
      <w:r>
        <w:t xml:space="preserve">✅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FirstParagraph"/>
      </w:pPr>
      <w:r>
        <w:t xml:space="preserve">A probability is a statement about a random variable.</w:t>
      </w:r>
      <w:r>
        <w:t xml:space="preserve"> </w:t>
      </w:r>
      <w:r>
        <w:t xml:space="preserve">The ❌ version of the first pair puts a fixed number</w:t>
      </w:r>
      <w:r>
        <w:t xml:space="preserve"> </w:t>
      </w:r>
      <w:r>
        <w:t xml:space="preserve">where a quantity that can vary belongs.</w:t>
      </w:r>
      <w:r>
        <w:t xml:space="preserve"> </w:t>
      </w:r>
      <w:r>
        <w:t xml:space="preserve">An observed number has no probability of exceeding 3.</w:t>
      </w:r>
      <w:r>
        <w:t xml:space="preserve"> </w:t>
      </w:r>
      <w:r>
        <w:t xml:space="preserve">The second pair has the reverse mistake.</w:t>
      </w:r>
      <w:r>
        <w:t xml:space="preserve"> </w:t>
      </w:r>
      <w:r>
        <w:t xml:space="preserve">A sample mean of 2.4 is a number computed from observed values.</w:t>
      </w:r>
      <w:r>
        <w:t xml:space="preserve"> </w:t>
      </w:r>
      <w:r>
        <w:t xml:space="preserve">The ❌ version attributes it to the random variables.</w:t>
      </w:r>
      <w:r>
        <w:t xml:space="preserve"> </w:t>
      </w:r>
      <w:r>
        <w:t xml:space="preserve">The sample mean of the random variables,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 is itself a random variable.</w:t>
      </w:r>
    </w:p>
    <w:bookmarkEnd w:id="37"/>
    <w:p>
      <w:pPr>
        <w:pStyle w:val="BodyText"/>
      </w:pPr>
      <w:r>
        <w:t xml:space="preserve">Match the notation to the claim: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probability,</w:t>
      </w:r>
      <w:r>
        <w:t xml:space="preserve"> </w:t>
      </w:r>
      <w:r>
        <w:t xml:space="preserve">with the random variable on the left of the inequality</w:t>
      </w:r>
      <w:r>
        <w:t xml:space="preserve"> </w:t>
      </w:r>
      <w:r>
        <w:t xml:space="preserve">and the value on the right.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mean and variance</w:t>
      </w:r>
      <w:r>
        <w:t xml:space="preserve"> </w:t>
      </w:r>
      <w:r>
        <w:t xml:space="preserve">of a random variable,</w:t>
      </w:r>
      <w:r>
        <w:t xml:space="preserve"> </w:t>
      </w:r>
      <w:r>
        <w:t xml:space="preserve">never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an observed value.</w:t>
      </w:r>
    </w:p>
    <w:p>
      <w:pPr>
        <w:pStyle w:val="Compact"/>
        <w:numPr>
          <w:ilvl w:val="0"/>
          <w:numId w:val="1009"/>
        </w:numPr>
      </w:pPr>
      <w:r>
        <w:t xml:space="preserve">Write a statistic computed from observed values with lowercase letters,</w:t>
      </w:r>
      <w:r>
        <w:t xml:space="preserve"> </w:t>
      </w:r>
      <w:r>
        <w:t xml:space="preserve">as in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and the same statistic as a random variable with capitals,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first is a number, such as 2.4.</w:t>
      </w:r>
      <w:r>
        <w:t xml:space="preserve"> </w:t>
      </w:r>
      <w:r>
        <w:t xml:space="preserve">The second has a sampling distribution.</w:t>
      </w:r>
    </w:p>
    <w:p>
      <w:pPr>
        <w:pStyle w:val="FirstParagraph"/>
      </w:pPr>
      <w:r>
        <w:t xml:space="preserve">Some fields reserve capital letters for matrices,</w:t>
      </w:r>
      <w:r>
        <w:t xml:space="preserve"> </w:t>
      </w:r>
      <w:r>
        <w:t xml:space="preserve">or use the same letter for a random variable and its value.</w:t>
      </w:r>
      <w:r>
        <w:t xml:space="preserve"> </w:t>
      </w:r>
      <w:r>
        <w:t xml:space="preserve">In that case, say so where you introduce the symbols.</w:t>
      </w:r>
      <w:r>
        <w:t xml:space="preserve"> </w:t>
      </w:r>
      <w:r>
        <w:t xml:space="preserve">Add a word that tells the reader which meaning applies,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random variable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End w:id="38"/>
    <w:bookmarkStart w:id="41" w:name="matching-names-and-notation"/>
    <w:p>
      <w:pPr>
        <w:pStyle w:val="Heading2"/>
      </w:pPr>
      <w:r>
        <w:t xml:space="preserve">7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39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40" w:name="exm-name-matches-notation"/>
    <w:p>
      <w:pPr>
        <w:pStyle w:val="BodyText"/>
      </w:pPr>
      <w:r>
        <w:rPr>
          <w:b/>
          <w:bCs/>
        </w:rPr>
        <w:t xml:space="preserve">Example 10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0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End w:id="41"/>
    <w:bookmarkStart w:id="50" w:name="using-shared-macros"/>
    <w:p>
      <w:pPr>
        <w:pStyle w:val="Heading2"/>
      </w:pPr>
      <w:r>
        <w:t xml:space="preserve">8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42" w:name="exm-use-shared-macro"/>
    <w:p>
      <w:pPr>
        <w:pStyle w:val="BodyText"/>
      </w:pPr>
      <w:r>
        <w:rPr>
          <w:b/>
          <w:bCs/>
        </w:rPr>
        <w:t xml:space="preserve">Example 11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42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10"/>
        </w:numPr>
      </w:pPr>
      <w:r>
        <w:t xml:space="preserve">transposes</w:t>
      </w:r>
    </w:p>
    <w:p>
      <w:pPr>
        <w:pStyle w:val="Compact"/>
        <w:numPr>
          <w:ilvl w:val="0"/>
          <w:numId w:val="1010"/>
        </w:numPr>
      </w:pPr>
      <w:r>
        <w:t xml:space="preserve">hats on estimates</w:t>
      </w:r>
    </w:p>
    <w:p>
      <w:pPr>
        <w:pStyle w:val="Compact"/>
        <w:numPr>
          <w:ilvl w:val="0"/>
          <w:numId w:val="1010"/>
        </w:numPr>
      </w:pPr>
      <w:r>
        <w:t xml:space="preserve">expectations</w:t>
      </w:r>
    </w:p>
    <w:p>
      <w:pPr>
        <w:pStyle w:val="Compact"/>
        <w:numPr>
          <w:ilvl w:val="0"/>
          <w:numId w:val="1010"/>
        </w:numPr>
      </w:pPr>
      <w:r>
        <w:t xml:space="preserve">variances</w:t>
      </w:r>
    </w:p>
    <w:p>
      <w:pPr>
        <w:pStyle w:val="Compact"/>
        <w:numPr>
          <w:ilvl w:val="0"/>
          <w:numId w:val="1010"/>
        </w:numPr>
      </w:pPr>
      <w:r>
        <w:t xml:space="preserve">probabilities</w:t>
      </w:r>
    </w:p>
    <w:p>
      <w:pPr>
        <w:pStyle w:val="Compact"/>
        <w:numPr>
          <w:ilvl w:val="0"/>
          <w:numId w:val="1010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43" w:name="exm-semantic-macro-name"/>
    <w:p>
      <w:pPr>
        <w:pStyle w:val="BodyText"/>
      </w:pPr>
      <w:r>
        <w:rPr>
          <w:b/>
          <w:bCs/>
        </w:rPr>
        <w:t xml:space="preserve">Example 12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43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44" w:name="exm-semantic-decorator"/>
    <w:p>
      <w:pPr>
        <w:pStyle w:val="BodyText"/>
      </w:pPr>
      <w:r>
        <w:rPr>
          <w:b/>
          <w:bCs/>
        </w:rPr>
        <w:t xml:space="preserve">Example 13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44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45" w:name="exm-semantic-font"/>
    <w:p>
      <w:pPr>
        <w:pStyle w:val="BodyText"/>
      </w:pPr>
      <w:r>
        <w:rPr>
          <w:b/>
          <w:bCs/>
        </w:rPr>
        <w:t xml:space="preserve">Example 14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45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46" w:name="exm-semantic-latin-letter"/>
    <w:p>
      <w:pPr>
        <w:pStyle w:val="BodyText"/>
      </w:pPr>
      <w:r>
        <w:rPr>
          <w:b/>
          <w:bCs/>
        </w:rPr>
        <w:t xml:space="preserve">Example 15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46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47" w:name="exm-named-quantity"/>
    <w:p>
      <w:pPr>
        <w:pStyle w:val="BodyText"/>
      </w:pPr>
      <w:r>
        <w:rPr>
          <w:b/>
          <w:bCs/>
        </w:rPr>
        <w:t xml:space="preserve">Example 16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47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48" w:name="exm-semantic-delimiter"/>
    <w:p>
      <w:pPr>
        <w:pStyle w:val="BodyText"/>
      </w:pPr>
      <w:r>
        <w:rPr>
          <w:b/>
          <w:bCs/>
        </w:rPr>
        <w:t xml:space="preserve">Example 17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48"/>
    <w:p>
      <w:pPr>
        <w:pStyle w:val="BodyText"/>
      </w:pPr>
      <w:r>
        <w:t xml:space="preserve">Macros are for the author, not the reader.</w:t>
      </w:r>
      <w:r>
        <w:t xml:space="preserve"> </w:t>
      </w:r>
      <w:r>
        <w:t xml:space="preserve">Reader-facing text, such as a lecture, a handout or a notation section,</w:t>
      </w:r>
      <w:r>
        <w:t xml:space="preserve"> </w:t>
      </w:r>
      <w:r>
        <w:t xml:space="preserve">describes the symbols that a macro prints and what they mean,</w:t>
      </w:r>
      <w:r>
        <w:t xml:space="preserve"> </w:t>
      </w:r>
      <w:r>
        <w:t xml:space="preserve">and never names the macro that produced them.</w:t>
      </w:r>
      <w:r>
        <w:t xml:space="preserve"> </w:t>
      </w:r>
      <w:r>
        <w:t xml:space="preserve">List every symbol that the reader meets in the document’s notation table,</w:t>
      </w:r>
      <w:r>
        <w:t xml:space="preserve"> </w:t>
      </w:r>
      <w:r>
        <w:t xml:space="preserve">with its meaning.</w:t>
      </w:r>
    </w:p>
    <w:bookmarkStart w:id="49" w:name="exm-describe-symbol-not-macro"/>
    <w:p>
      <w:pPr>
        <w:pStyle w:val="BodyText"/>
      </w:pPr>
      <w:r>
        <w:rPr>
          <w:b/>
          <w:bCs/>
        </w:rPr>
        <w:t xml:space="preserve">Example 18 (Describing the symbol, not the macro)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macro \avgfitf prints the average fit, so write $\avgfitf{x}$ for it.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average fit at $x$ is written $\avgfitf{x}$.</w:t>
      </w:r>
    </w:p>
    <w:p>
      <w:pPr>
        <w:pStyle w:val="FirstParagraph"/>
      </w:pPr>
      <w:r>
        <w:t xml:space="preserve">The ✅ version tells the reader what the symbol means.</w:t>
      </w:r>
      <w:r>
        <w:t xml:space="preserve"> </w:t>
      </w:r>
      <w:r>
        <w:t xml:space="preserve">The reader never sees the macro name,</w:t>
      </w:r>
      <w:r>
        <w:t xml:space="preserve"> </w:t>
      </w:r>
      <w:r>
        <w:t xml:space="preserve">and the symbol has its own row in the notation table.</w:t>
      </w:r>
    </w:p>
    <w:bookmarkEnd w:id="49"/>
    <w:bookmarkEnd w:id="50"/>
    <w:bookmarkStart w:id="53" w:name="making-expressions-concise"/>
    <w:p>
      <w:pPr>
        <w:pStyle w:val="Heading2"/>
      </w:pPr>
      <w:r>
        <w:t xml:space="preserve">9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51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 fitted value 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52" w:name="exm-concise-expression"/>
    <w:p>
      <w:pPr>
        <w:pStyle w:val="BodyText"/>
      </w:pPr>
      <w:r>
        <w:rPr>
          <w:b/>
          <w:bCs/>
        </w:rPr>
        <w:t xml:space="preserve">Example 19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52"/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53"/>
    <w:bookmarkStart w:id="55" w:name="writing-dot-products"/>
    <w:p>
      <w:pPr>
        <w:pStyle w:val="Heading2"/>
      </w:pPr>
      <w:r>
        <w:t xml:space="preserve">10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54" w:name="exm-dot-product"/>
    <w:p>
      <w:pPr>
        <w:pStyle w:val="BodyText"/>
      </w:pPr>
      <w:r>
        <w:rPr>
          <w:b/>
          <w:bCs/>
        </w:rPr>
        <w:t xml:space="preserve">Example 20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54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12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12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55"/>
    <w:bookmarkStart w:id="58" w:name="writing-out-notational-shorthands"/>
    <w:p>
      <w:pPr>
        <w:pStyle w:val="Heading2"/>
      </w:pPr>
      <w:r>
        <w:t xml:space="preserve">11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56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57" w:name="exm-notational-shorthand"/>
    <w:p>
      <w:pPr>
        <w:pStyle w:val="BodyText"/>
      </w:pPr>
      <w:r>
        <w:rPr>
          <w:b/>
          <w:bCs/>
        </w:rPr>
        <w:t xml:space="preserve">Example 21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57"/>
    <w:bookmarkEnd w:id="58"/>
    <w:bookmarkStart w:id="60" w:name="stating-assumptions-before-using-them"/>
    <w:p>
      <w:pPr>
        <w:pStyle w:val="Heading2"/>
      </w:pPr>
      <w:r>
        <w:t xml:space="preserve">12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3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a hypothesis of a theorem;</w:t>
      </w:r>
    </w:p>
    <w:p>
      <w:pPr>
        <w:pStyle w:val="Compact"/>
        <w:numPr>
          <w:ilvl w:val="0"/>
          <w:numId w:val="1013"/>
        </w:numPr>
      </w:pPr>
      <w:r>
        <w:t xml:space="preserve">a case split;</w:t>
      </w:r>
    </w:p>
    <w:p>
      <w:pPr>
        <w:pStyle w:val="Compact"/>
        <w:numPr>
          <w:ilvl w:val="0"/>
          <w:numId w:val="1013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bookmarkStart w:id="59" w:name="exm-assumptions-first"/>
    <w:p>
      <w:pPr>
        <w:pStyle w:val="BodyText"/>
      </w:pPr>
      <w:r>
        <w:rPr>
          <w:b/>
          <w:bCs/>
        </w:rPr>
        <w:t xml:space="preserve">Example 22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7" Type="http://schemas.openxmlformats.org/officeDocument/2006/relationships/hyperlink" Target="citations-evidence.qmd#trivial-and-trivially" TargetMode="External"/><Relationship Id="rId39" Type="http://schemas.openxmlformats.org/officeDocument/2006/relationships/hyperlink" Target="defining-terms.qmd#guidelines-for-defining-terms" TargetMode="External"/><Relationship Id="rId34" Type="http://schemas.openxmlformats.org/officeDocument/2006/relationships/hyperlink" Target="https://morrison-lab.github.io/mds/functions.html#def-codomain" TargetMode="External"/><Relationship Id="rId33" Type="http://schemas.openxmlformats.org/officeDocument/2006/relationships/hyperlink" Target="https://morrison-lab.github.io/mds/functions.html#def-domain" TargetMode="External"/><Relationship Id="rId32" Type="http://schemas.openxmlformats.org/officeDocument/2006/relationships/hyperlink" Target="https://morrison-lab.github.io/mds/functions.html#def-function" TargetMode="External"/><Relationship Id="rId56" Type="http://schemas.openxmlformats.org/officeDocument/2006/relationships/hyperlink" Target="https://morrison-lab.github.io/mds/notation.html#sec-notational-shorthands" TargetMode="External"/><Relationship Id="rId27" Type="http://schemas.openxmlformats.org/officeDocument/2006/relationships/hyperlink" Target="notation.qmd#one-operation-per-step" TargetMode="External"/><Relationship Id="rId51" Type="http://schemas.openxmlformats.org/officeDocument/2006/relationships/hyperlink" Target="teaching.qmd#build-every-unit-from-smaller-atomic-units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citations-evidence.qmd#trivial-and-trivially" TargetMode="External"/><Relationship Id="rId39" Type="http://schemas.openxmlformats.org/officeDocument/2006/relationships/hyperlink" Target="defining-terms.qmd#guidelines-for-defining-terms" TargetMode="External"/><Relationship Id="rId34" Type="http://schemas.openxmlformats.org/officeDocument/2006/relationships/hyperlink" Target="https://morrison-lab.github.io/mds/functions.html#def-codomain" TargetMode="External"/><Relationship Id="rId33" Type="http://schemas.openxmlformats.org/officeDocument/2006/relationships/hyperlink" Target="https://morrison-lab.github.io/mds/functions.html#def-domain" TargetMode="External"/><Relationship Id="rId32" Type="http://schemas.openxmlformats.org/officeDocument/2006/relationships/hyperlink" Target="https://morrison-lab.github.io/mds/functions.html#def-function" TargetMode="External"/><Relationship Id="rId56" Type="http://schemas.openxmlformats.org/officeDocument/2006/relationships/hyperlink" Target="https://morrison-lab.github.io/mds/notation.html#sec-notational-shorthands" TargetMode="External"/><Relationship Id="rId27" Type="http://schemas.openxmlformats.org/officeDocument/2006/relationships/hyperlink" Target="notation.qmd#one-operation-per-step" TargetMode="External"/><Relationship Id="rId51" Type="http://schemas.openxmlformats.org/officeDocument/2006/relationships/hyperlink" Target="teaching.qmd#build-every-unit-from-smaller-atomic-unit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2026-10-18T08:04:26Z</dcterms:created>
  <dcterms:modified xsi:type="dcterms:W3CDTF">2026-10-18T08:04:26Z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01:00:35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