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2026-10-22 12:44:49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9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sees.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seen: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7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7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sees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</w:t>
      </w:r>
      <w:r>
        <w:rPr>
          <w:b/>
          <w:bCs/>
        </w:rPr>
        <w:t xml:space="preserve"> </w:t>
      </w:r>
      <w:r>
        <w:rPr>
          <w:b/>
          <w:bCs/>
        </w:rPr>
        <w:t xml:space="preserve">“fitted model”</w:t>
      </w:r>
      <w:r>
        <w:rPr>
          <w:b/>
          <w:bCs/>
        </w:rPr>
        <w:t xml:space="preserve">, not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:</w:t>
      </w:r>
      <w:r>
        <w:t xml:space="preserve"> </w:t>
      </w:r>
      <w:r>
        <w:t xml:space="preserve">A fitted model that is used to predict outcomes is still a fitted model,</w:t>
      </w:r>
      <w:r>
        <w:t xml:space="preserve"> </w:t>
      </w:r>
      <w:r>
        <w:t xml:space="preserve">and a second name for one object makes readers wonder whether there are two objects,</w:t>
      </w:r>
      <w:r>
        <w:t xml:space="preserve"> </w:t>
      </w:r>
      <w:r>
        <w:t xml:space="preserve">so call it a fitted model every time.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prediction rule predicts”</w:t>
      </w:r>
      <w:r>
        <w:t xml:space="preserve">.</w:t>
      </w:r>
      <w:r>
        <w:t xml:space="preserve"> </w:t>
      </w:r>
      <w:r>
        <w:t xml:space="preserve">When a set of notes defines the fitted model,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belongs only in that definition, as an alias in bold and in the div title,</w:t>
      </w:r>
      <w:r>
        <w:t xml:space="preserve"> </w:t>
      </w:r>
      <w:r>
        <w:t xml:space="preserve">so that a reader who sees the alias elsewhere can find its meaning.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under its own anchor,</w:t>
      </w:r>
      <w:r>
        <w:t xml:space="preserve"> </w:t>
      </w:r>
      <w:r>
        <w:t xml:space="preserve">keep the old anchor as a span on the alias,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19"/>
    <w:bookmarkStart w:id="26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20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0"/>
    <w:bookmarkStart w:id="21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1"/>
    <w:bookmarkStart w:id="22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2"/>
    <w:bookmarkStart w:id="23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3"/>
    <w:bookmarkStart w:id="24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4"/>
    <w:bookmarkStart w:id="25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5"/>
    <w:bookmarkEnd w:id="26"/>
    <w:bookmarkStart w:id="31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 terms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7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28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8"/>
    <w:bookmarkStart w:id="29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9"/>
    <w:bookmarkStart w:id="30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30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1"/>
    <w:bookmarkStart w:id="35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 term 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 active voice, keeps its prose definition alone.</w:t>
      </w:r>
    </w:p>
    <w:bookmarkStart w:id="33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3"/>
    <w:bookmarkStart w:id="34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4"/>
    <w:bookmarkEnd w:id="35"/>
    <w:bookmarkStart w:id="36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6"/>
    <w:bookmarkStart w:id="37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7"/>
    <w:bookmarkStart w:id="45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9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8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9"/>
    <w:bookmarkStart w:id="44" w:name="example-pythagorean-theorem"/>
    <w:p>
      <w:pPr>
        <w:pStyle w:val="Heading3"/>
      </w:pPr>
      <w:r>
        <w:t xml:space="preserve">7.2 Example: Pythagorean theorem</w:t>
      </w:r>
    </w:p>
    <w:bookmarkStart w:id="40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0"/>
    <w:bookmarkStart w:id="41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2"/>
    <w:bookmarkStart w:id="43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3"/>
    <w:bookmarkEnd w:id="44"/>
    <w:bookmarkEnd w:id="45"/>
    <w:bookmarkStart w:id="53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sees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7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7"/>
    <w:bookmarkStart w:id="48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48"/>
    <w:bookmarkStart w:id="49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9"/>
    <w:bookmarkStart w:id="50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1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1"/>
    <w:bookmarkStart w:id="52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https://quarto.org/docs/authoring/cross-references.html#theorems-and-proofs" TargetMode="External" /><Relationship Type="http://schemas.openxmlformats.org/officeDocument/2006/relationships/hyperlink" Id="rId32" Target="mathematical-writing.qmd#make-the-prose-say-what-the-formula-says" TargetMode="External" /><Relationship Type="http://schemas.openxmlformats.org/officeDocument/2006/relationships/hyperlink" Id="rId46" Target="notation.qmd#one-operation-per-step" TargetMode="External" /><Relationship Type="http://schemas.openxmlformats.org/officeDocument/2006/relationships/hyperlink" Id="rId16" Target="paper-organization.qmd#avoid-forward-references" TargetMode="External" /><Relationship Type="http://schemas.openxmlformats.org/officeDocument/2006/relationships/hyperlink" Id="rId18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quarto.org/docs/authoring/cross-references.html#theorems-and-proofs" TargetMode="External" /><Relationship Type="http://schemas.openxmlformats.org/officeDocument/2006/relationships/hyperlink" Id="rId32" Target="mathematical-writing.qmd#make-the-prose-say-what-the-formula-says" TargetMode="External" /><Relationship Type="http://schemas.openxmlformats.org/officeDocument/2006/relationships/hyperlink" Id="rId46" Target="notation.qmd#one-operation-per-step" TargetMode="External" /><Relationship Type="http://schemas.openxmlformats.org/officeDocument/2006/relationships/hyperlink" Id="rId16" Target="paper-organization.qmd#avoid-forward-references" TargetMode="External" /><Relationship Type="http://schemas.openxmlformats.org/officeDocument/2006/relationships/hyperlink" Id="rId18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2026-10-22T19:48:23Z</dcterms:created>
  <dcterms:modified xsi:type="dcterms:W3CDTF">2026-10-22T19:48:23Z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12:44:49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