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2026-10-29 12:57:04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7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4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4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6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 </w:t>
      </w:r>
      <w:r>
        <w:t xml:space="preserve">naming it first keeps the constraint short.</w:t>
      </w:r>
    </w:p>
    <w:bookmarkStart w:id="15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5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6"/>
    <w:bookmarkEnd w:id="17"/>
    <w:bookmarkStart w:id="29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8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9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9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20"/>
    <w:bookmarkStart w:id="22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1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1"/>
    <w:bookmarkEnd w:id="22"/>
    <w:bookmarkStart w:id="23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3"/>
    <w:bookmarkStart w:id="28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5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5"/>
    <w:bookmarkStart w:id="27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6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nor/>
              <m:sty m:val="p"/>
            </m:rPr>
            <m:t>MSE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Separate blocks then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e</m:t>
                </m:r>
              </m:e>
            </m:acc>
          </m:den>
        </m:f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⊤</m:t>
            </m:r>
          </m:sup>
        </m:sSup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n</m:t>
                </m:r>
              </m:den>
            </m:f>
            <m:acc>
              <m:accPr>
                <m:chr m:val="̃"/>
              </m:accPr>
              <m:e>
                <m:r>
                  <m:t>e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6"/>
    <w:bookmarkEnd w:id="27"/>
    <w:bookmarkEnd w:id="28"/>
    <w:bookmarkEnd w:id="29"/>
    <w:bookmarkStart w:id="32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30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31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31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2"/>
    <w:bookmarkStart w:id="35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3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3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bookmarkStart w:id="34" w:name="def-fitted-value"/>
    <w:p>
      <w:pPr>
        <w:pStyle w:val="FirstParagraph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value that a fitted model predicts</w:t>
      </w:r>
      <w:r>
        <w:t xml:space="preserve"> </w:t>
      </w:r>
      <w:r>
        <w:t xml:space="preserve">at that observation’s input.</w:t>
      </w:r>
      <w:r>
        <w:t xml:space="preserve"> </w:t>
      </w:r>
      <w:r>
        <w:t xml:space="preserve">In machine learning notes, where the fitted prediction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it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4"/>
    <w:p>
      <w:pPr>
        <w:pStyle w:val="BodyText"/>
      </w:pPr>
      <w:r>
        <w:t xml:space="preserve">Define 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once,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it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5"/>
    <w:bookmarkStart w:id="38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1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6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7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7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8"/>
    <w:bookmarkStart w:id="42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9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  <w:r>
        <w:t xml:space="preserve"> 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9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given”</w:t>
      </w:r>
      <w:r>
        <w:t xml:space="preserve">.</w:t>
      </w:r>
    </w:p>
    <w:bookmarkStart w:id="41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m:oMath>
        <m:r>
          <m:t>x</m:t>
        </m:r>
      </m:oMath>
      <w:r>
        <w:t xml:space="preserve">, 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number you choose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41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2"/>
    <w:bookmarkStart w:id="47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4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4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6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  <w:r>
        <w:t xml:space="preserve"> </w:t>
      </w:r>
    </w:p>
    <w:bookmarkStart w:id="45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5"/>
    <w:bookmarkEnd w:id="46"/>
    <w:bookmarkEnd w:id="47"/>
    <w:bookmarkStart w:id="56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8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8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  <w:r>
        <w:t xml:space="preserve"> 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9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9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50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50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51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51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2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2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3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3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4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4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5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5"/>
    <w:bookmarkEnd w:id="56"/>
    <w:bookmarkStart w:id="59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7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8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8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prediction error</w:t>
      </w:r>
      <w:r>
        <w:t xml:space="preserve"> </w:t>
      </w:r>
      <w:r>
        <w:t xml:space="preserve">as the squared bias plus the variance plus the residual variance,</w:t>
      </w:r>
      <w:r>
        <w:t xml:space="preserve"> 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9"/>
    <w:bookmarkStart w:id="62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61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</w:t>
      </w:r>
      <w:r>
        <w:t xml:space="preserve"> </w:t>
      </w:r>
      <w:hyperlink r:id="rId4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μ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In the ❌ version,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61"/>
    <w:bookmarkEnd w:id="62"/>
    <w:bookmarkStart w:id="64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3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4"/>
    <w:bookmarkStart w:id="65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 a mean, so it is</w:t>
      </w:r>
      <w:r>
        <w:t xml:space="preserve"> </w:t>
      </w:r>
      <m:oMath>
        <m:r>
          <m:t>μ</m:t>
        </m:r>
      </m:oMath>
      <w:r>
        <w:t xml:space="preserve">, not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5"/>
    <w:bookmarkStart w:id="67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6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predictor matrix and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6"/>
    <w:bookmarkEnd w:id="67"/>
    <w:bookmarkStart w:id="69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8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p>
      <w:pPr>
        <w:pStyle w:val="BodyText"/>
      </w:pPr>
      <w:r>
        <w:t xml:space="preserve">Put a specific case on the sheet only as a labeled example next to the general formula.</w:t>
      </w:r>
    </w:p>
    <w:bookmarkEnd w:id="69"/>
    <w:bookmarkStart w:id="71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μ</m:t>
        </m:r>
      </m:oMath>
      <w:r>
        <w:t xml:space="preserve">, not as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 mean function is the</w:t>
      </w:r>
      <w:r>
        <w:t xml:space="preserve"> </w:t>
      </w:r>
      <w:hyperlink r:id="rId60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 of the outcome given the inputs,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m:oMath>
        <m:r>
          <m:t>f</m:t>
        </m:r>
      </m:oMath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itself.</w:t>
      </w:r>
    </w:p>
    <w:bookmarkStart w:id="70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f</m:t>
                    </m:r>
                  </m:e>
                </m:acc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the mean it is compared with.</w:t>
      </w:r>
    </w:p>
    <w:bookmarkEnd w:id="70"/>
    <w:bookmarkEnd w:id="71"/>
    <w:bookmarkStart w:id="74" w:name="writing-the-log-odds"/>
    <w:p>
      <w:pPr>
        <w:pStyle w:val="Heading2"/>
      </w:pPr>
      <w:r>
        <w:t xml:space="preserve">16 Writing the log-odds</w:t>
      </w:r>
    </w:p>
    <w:p>
      <w:pPr>
        <w:pStyle w:val="FirstParagraph"/>
      </w:pPr>
      <w:r>
        <w:t xml:space="preserve">Use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(the Greek letter eta) for the log-odds, not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or another letter.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\logodds</w:t>
      </w:r>
      <w:r>
        <w:t xml:space="preserve">.</w:t>
      </w:r>
      <w:r>
        <w:t xml:space="preserve"> </w:t>
      </w:r>
      <w:r>
        <w:t xml:space="preserve">Use it wherever the quantity is the log-odds, including the argument of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so that the same quantity has one symbol in every chapter and figure.</w:t>
      </w:r>
      <w:r>
        <w:t xml:space="preserve"> </w:t>
      </w:r>
      <w:r>
        <w:t xml:space="preserve">Label a figure axis that shows it</w:t>
      </w:r>
      <w:r>
        <w:t xml:space="preserve"> </w:t>
      </w:r>
      <w:r>
        <w:t xml:space="preserve">“Log-odds,</w:t>
      </w:r>
      <w:r>
        <w:t xml:space="preserve"> </w:t>
      </w:r>
      <m:oMath>
        <m:r>
          <m:t>η</m:t>
        </m:r>
      </m:oMath>
      <w:r>
        <w:t xml:space="preserve">”</w:t>
      </w:r>
      <w:r>
        <w:t xml:space="preserve"> </w:t>
      </w:r>
      <w:r>
        <w:t xml:space="preserve">(see</w:t>
      </w:r>
      <w:r>
        <w:t xml:space="preserve"> </w:t>
      </w:r>
      <w:hyperlink r:id="rId72">
        <w:r>
          <w:rPr>
            <w:rStyle w:val="Hyperlink"/>
          </w:rPr>
          <w:t xml:space="preserve">Scientific figures</w:t>
        </w:r>
      </w:hyperlink>
      <w:r>
        <w:t xml:space="preserve">).</w:t>
      </w:r>
    </w:p>
    <w:bookmarkStart w:id="73" w:name="exm-log-odds-symbol"/>
    <w:p>
      <w:pPr>
        <w:pStyle w:val="BodyText"/>
      </w:pPr>
      <w:r>
        <w:rPr>
          <w:b/>
          <w:bCs/>
        </w:rPr>
        <w:t xml:space="preserve">Example 27 (Argument of the logistic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logistic</w:t>
      </w:r>
      <w:r>
        <w:t xml:space="preserve"> </w:t>
      </w:r>
      <w:hyperlink r:id="rId2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z</m:t>
            </m:r>
          </m:sup>
        </m:sSup>
        <m:r>
          <m:rPr>
            <m:sty m:val="p"/>
          </m:rPr>
          <m:t>)</m:t>
        </m:r>
      </m:oMath>
      <w:r>
        <w:t xml:space="preserve">, evaluated at the log-odds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lockText"/>
      </w:pPr>
      <w:r>
        <w:t xml:space="preserve">✅ The logistic function is</w:t>
      </w:r>
      <w:r>
        <w:t xml:space="preserve"> </w:t>
      </w:r>
      <m:oMath>
        <m:r>
          <m:rPr>
            <m:sty m:val="p"/>
          </m:rPr>
          <m:t>expit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η</m:t>
                </m:r>
              </m:sup>
            </m:sSup>
          </m:den>
        </m:f>
      </m:oMath>
      <w:r>
        <w:t xml:space="preserve">, evaluated at the log-odds</w:t>
      </w:r>
      <w:r>
        <w:t xml:space="preserve"> </w:t>
      </w:r>
      <m:oMath>
        <m:r>
          <m:t>η</m:t>
        </m:r>
      </m:oMath>
      <w:r>
        <w:t xml:space="preserve">.</w:t>
      </w:r>
    </w:p>
    <w:p>
      <w:pPr>
        <w:pStyle w:val="FirstParagraph"/>
      </w:pPr>
      <w:r>
        <w:t xml:space="preserve">The ✅ version uses the lab’s symbol for the log-odds, so a reader who has seen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elsewhere recognizes it here.</w:t>
      </w:r>
    </w:p>
    <w:bookmarkEnd w:id="73"/>
    <w:bookmarkEnd w:id="74"/>
    <w:bookmarkStart w:id="77" w:name="writing-out-notational-shorthands"/>
    <w:p>
      <w:pPr>
        <w:pStyle w:val="Heading2"/>
      </w:pPr>
      <w:r>
        <w:t xml:space="preserve">17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7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6" w:name="exm-notational-shorthand"/>
    <w:p>
      <w:pPr>
        <w:pStyle w:val="BodyText"/>
      </w:pPr>
      <w:r>
        <w:rPr>
          <w:b/>
          <w:bCs/>
        </w:rPr>
        <w:t xml:space="preserve">Example 28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6"/>
    <w:bookmarkEnd w:id="77"/>
    <w:bookmarkStart w:id="82" w:name="stating-assumptions-before-using-them"/>
    <w:p>
      <w:pPr>
        <w:pStyle w:val="Heading2"/>
      </w:pPr>
      <w:r>
        <w:t xml:space="preserve">18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8" w:name="exm-assumptions-first"/>
    <w:p>
      <w:pPr>
        <w:pStyle w:val="BodyText"/>
      </w:pPr>
      <w:r>
        <w:rPr>
          <w:b/>
          <w:bCs/>
        </w:rPr>
        <w:t xml:space="preserve">Example 29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8"/>
    <w:bookmarkStart w:id="79" w:name="exm-assumptions-bullet-list"/>
    <w:p>
      <w:pPr>
        <w:pStyle w:val="BodyText"/>
      </w:pPr>
      <w:r>
        <w:rPr>
          <w:b/>
          <w:bCs/>
        </w:rPr>
        <w:t xml:space="preserve">Example 30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  <w:r>
        <w:t xml:space="preserve"> 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9"/>
    <w:bookmarkStart w:id="80" w:name="exm-notation-bullet-list"/>
    <w:p>
      <w:pPr>
        <w:pStyle w:val="BodyText"/>
      </w:pPr>
      <w:r>
        <w:rPr>
          <w:b/>
          <w:bCs/>
        </w:rPr>
        <w:t xml:space="preserve">Example 31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80"/>
    <w:bookmarkStart w:id="81" w:name="exm-parametrization-is-notation"/>
    <w:p>
      <w:pPr>
        <w:pStyle w:val="BodyText"/>
      </w:pPr>
      <w:r>
        <w:rPr>
          <w:b/>
          <w:bCs/>
        </w:rPr>
        <w:t xml:space="preserve">Example 32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population mean of the outcome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the input value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Compact"/>
        <w:numPr>
          <w:ilvl w:val="0"/>
          <w:numId w:val="1020"/>
        </w:numPr>
      </w:pP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citations-evidence.qmd#trivial-and-trivially" TargetMode="External" /><Relationship Type="http://schemas.openxmlformats.org/officeDocument/2006/relationships/hyperlink" Id="rId60" Target="defining-terms.qmd#def-population" TargetMode="External" /><Relationship Type="http://schemas.openxmlformats.org/officeDocument/2006/relationships/hyperlink" Id="rId40" Target="defining-terms.qmd#def-variance-expression-and-prose" TargetMode="External" /><Relationship Type="http://schemas.openxmlformats.org/officeDocument/2006/relationships/hyperlink" Id="rId43" Target="defining-terms.qmd#guidelines-for-defining-terms" TargetMode="External" /><Relationship Type="http://schemas.openxmlformats.org/officeDocument/2006/relationships/hyperlink" Id="rId36" Target="https://morrison-lab.github.io/mds/functions.html#def-codomain" TargetMode="External" /><Relationship Type="http://schemas.openxmlformats.org/officeDocument/2006/relationships/hyperlink" Id="rId13" Target="https://morrison-lab.github.io/mds/functions.html#def-domain" TargetMode="External" /><Relationship Type="http://schemas.openxmlformats.org/officeDocument/2006/relationships/hyperlink" Id="rId24" Target="https://morrison-lab.github.io/mds/functions.html#def-function" TargetMode="External" /><Relationship Type="http://schemas.openxmlformats.org/officeDocument/2006/relationships/hyperlink" Id="rId75" Target="https://morrison-lab.github.io/mds/notation.html#sec-notational-shorthands" TargetMode="External" /><Relationship Type="http://schemas.openxmlformats.org/officeDocument/2006/relationships/hyperlink" Id="rId30" Target="notation.qmd#one-operation-per-step" TargetMode="External" /><Relationship Type="http://schemas.openxmlformats.org/officeDocument/2006/relationships/hyperlink" Id="rId72" Target="slides-posters-figures.qmd#sec-scientific-figures" TargetMode="External" /><Relationship Type="http://schemas.openxmlformats.org/officeDocument/2006/relationships/hyperlink" Id="rId57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2026-10-29T20:00:32Z</dcterms:created>
  <dcterms:modified xsi:type="dcterms:W3CDTF">2026-10-29T20:00:32Z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12:57:04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