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2026-10-05 09:01:55 (UTC)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0"/>
    <w:bookmarkStart w:id="11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1"/>
    <w:bookmarkStart w:id="13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in both prose and math:</w:t>
      </w:r>
      <w:r>
        <w:t xml:space="preserve"> </w:t>
      </w:r>
      <w:r>
        <w:t xml:space="preserve">Give a quantitative term a one-sentence prose definition</w:t>
      </w:r>
      <w:r>
        <w:t xml:space="preserve"> </w:t>
      </w:r>
      <w:r>
        <w:t xml:space="preserve">and the formula it stands for, in the same definition block;</w:t>
      </w:r>
      <w:r>
        <w:t xml:space="preserve"> </w:t>
      </w:r>
      <w:r>
        <w:t xml:space="preserve">together the sentence and the formula are the defining statement.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⃗"/>
              </m:accPr>
              <m:e>
                <m:r>
                  <m:t>θ</m:t>
                </m:r>
              </m:e>
            </m:acc>
          </m:e>
        </m:acc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acc>
              <m:accPr>
                <m:chr m:val="⃗"/>
              </m:accPr>
              <m:e>
                <m:r>
                  <m:t>θ</m:t>
                </m:r>
              </m:e>
            </m:acc>
          </m:sub>
        </m:sSub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⃗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1</m:t>
        </m:r>
        <m:r>
          <m:rPr>
            <m:sty m:val="p"/>
          </m:rPr>
          <m:t>−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nor/>
            <m:sty m:val="p"/>
          </m:rPr>
          <m:t>TSS</m:t>
        </m:r>
      </m:oMath>
      <w:r>
        <w:t xml:space="preserve">,</w:t>
      </w:r>
      <w:r>
        <w:t xml:space="preserve"> </w:t>
      </w: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bookmarkEnd w:id="13"/>
    <w:bookmarkStart w:id="1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4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is a range of values,</w:t>
      </w:r>
      <w:r>
        <w:t xml:space="preserve"> </w:t>
      </w:r>
      <w:r>
        <w:t xml:space="preserve">derived from sample statistics,</w:t>
      </w:r>
      <w:r>
        <w:t xml:space="preserve"> </w:t>
      </w:r>
      <w:r>
        <w:t xml:space="preserve">that is likely to contain the true population parameter.</w:t>
      </w:r>
    </w:p>
    <w:bookmarkEnd w:id="14"/>
    <w:bookmarkStart w:id="15" w:name="exm-confidence-interval"/>
    <w:p>
      <w:pPr>
        <w:pStyle w:val="BodyText"/>
      </w:pPr>
      <w:r>
        <w:rPr>
          <w:b/>
          <w:bCs/>
        </w:rPr>
        <w:t xml:space="preserve">Example 1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5"/>
    <w:bookmarkStart w:id="16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16"/>
    <w:bookmarkStart w:id="17" w:name="exm-active-voice"/>
    <w:p>
      <w:pPr>
        <w:pStyle w:val="BodyText"/>
      </w:pPr>
      <w:r>
        <w:rPr>
          <w:b/>
          <w:bCs/>
        </w:rPr>
        <w:t xml:space="preserve">Example 2 (Active and passive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in passive voice.</w:t>
      </w:r>
    </w:p>
    <w:bookmarkEnd w:id="17"/>
    <w:bookmarkEnd w:id="18"/>
    <w:bookmarkStart w:id="2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1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.</w:t>
      </w:r>
    </w:p>
    <w:bookmarkEnd w:id="19"/>
    <w:bookmarkStart w:id="20" w:name="exm-rss-line"/>
    <w:p>
      <w:pPr>
        <w:pStyle w:val="BodyText"/>
      </w:pPr>
      <w:r>
        <w:rPr>
          <w:b/>
          <w:bCs/>
        </w:rPr>
        <w:t xml:space="preserve">Example 3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m-rss-three-points"/>
    <w:p>
      <w:pPr>
        <w:pStyle w:val="BodyText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comes last.</w:t>
      </w:r>
    </w:p>
    <w:bookmarkEnd w:id="22"/>
    <w:bookmarkStart w:id="23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bookmarkEnd w:id="23"/>
    <w:bookmarkStart w:id="24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24"/>
    <w:bookmarkStart w:id="32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26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rPr>
          <w:rStyle w:val="NormalTok"/>
        </w:rPr>
        <w:t xml:space="preserve">$a^2 + b^2 = c^2$.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26"/>
    <w:bookmarkStart w:id="31" w:name="example-pythagorean-theorem"/>
    <w:p>
      <w:pPr>
        <w:pStyle w:val="Heading3"/>
      </w:pPr>
      <w:r>
        <w:t xml:space="preserve">6.2 Example: Pythagorean theorem</w:t>
      </w:r>
    </w:p>
    <w:bookmarkStart w:id="27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7"/>
    <w:bookmarkStart w:id="28" w:name="exm-pythagoras"/>
    <w:p>
      <w:pPr>
        <w:pStyle w:val="BodyText"/>
      </w:pPr>
      <w:r>
        <w:rPr>
          <w:b/>
          <w:bCs/>
        </w:rPr>
        <w:t xml:space="preserve">Example 5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8"/>
    <w:bookmarkStart w:id="29" w:name="def-postulate"/>
    <w:p>
      <w:pPr>
        <w:pStyle w:val="BodyText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29"/>
    <w:bookmarkStart w:id="30" w:name="exm-parallel-postulate"/>
    <w:p>
      <w:pPr>
        <w:pStyle w:val="BodyText"/>
      </w:pPr>
      <w:r>
        <w:rPr>
          <w:b/>
          <w:bCs/>
        </w:rPr>
        <w:t xml:space="preserve">Example 6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quarto.org/docs/authoring/cross-references.html#theorems-and-proofs" TargetMode="External" /><Relationship Type="http://schemas.openxmlformats.org/officeDocument/2006/relationships/hyperlink" Id="rId1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quarto.org/docs/authoring/cross-references.html#theorems-and-proofs" TargetMode="External" /><Relationship Type="http://schemas.openxmlformats.org/officeDocument/2006/relationships/hyperlink" Id="rId1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2026-10-05T09:03:39Z</dcterms:created>
  <dcterms:modified xsi:type="dcterms:W3CDTF">2026-10-05T09:03:39Z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09:01:55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