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2026-10-13 12:11:18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writing-dot-products"/>
    <w:p>
      <w:pPr>
        <w:pStyle w:val="Heading2"/>
      </w:pPr>
      <w:r>
        <w:t xml:space="preserve">7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3" w:name="exm-dot-product"/>
    <w:p>
      <w:pPr>
        <w:pStyle w:val="BodyText"/>
      </w:pPr>
      <w:r>
        <w:rPr>
          <w:b/>
          <w:bCs/>
        </w:rPr>
        <w:t xml:space="preserve">Example 16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3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4"/>
    <w:bookmarkStart w:id="47" w:name="writing-out-notational-shorthands"/>
    <w:p>
      <w:pPr>
        <w:pStyle w:val="Heading2"/>
      </w:pPr>
      <w:r>
        <w:t xml:space="preserve">8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6" w:name="exm-notational-shorthand"/>
    <w:p>
      <w:pPr>
        <w:pStyle w:val="BodyText"/>
      </w:pPr>
      <w:r>
        <w:rPr>
          <w:b/>
          <w:bCs/>
        </w:rPr>
        <w:t xml:space="preserve">Example 17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5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2026-10-13T19:15:27Z</dcterms:created>
  <dcterms:modified xsi:type="dcterms:W3CDTF">2026-10-13T19:15:27Z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12:11:18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