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del w:id="1" w:author="PR Preview" w:date="2026-01-01T00:00:00Z">
        <w:r>
          <w:delText xml:space="preserve">Last modified: 2026-10-28 01:12:24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13:18:47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9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6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bookmarkStart w:id="12" w:name="def-restrictive-clause"/>
    <w:p>
      <w:pPr>
        <w:pStyle w:val="FirstParagraph"/>
      </w:pPr>
      <w:r>
        <w:rPr>
          <w:b/>
          <w:bCs/>
        </w:rPr>
        <w:t xml:space="preserve">Definition 1 (Restrictive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restrictive clause</w:t>
      </w:r>
      <w:r>
        <w:t xml:space="preserve"> </w:t>
      </w:r>
      <w:r>
        <w:t xml:space="preserve">is a relative clause that identifies which thing you mean,</w:t>
      </w:r>
      <w:r>
        <w:t xml:space="preserve"> </w:t>
      </w:r>
      <w:r>
        <w:t xml:space="preserve">and that cannot be removed without changing the meaning of the sentence.</w:t>
      </w:r>
    </w:p>
    <w:bookmarkEnd w:id="12"/>
    <w:bookmarkStart w:id="13" w:name="def-non-restrictive-clause"/>
    <w:p>
      <w:pPr>
        <w:pStyle w:val="BodyText"/>
      </w:pPr>
      <w:r>
        <w:rPr>
          <w:b/>
          <w:bCs/>
        </w:rPr>
        <w:t xml:space="preserve">Definition 2 (Non-restrictive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non-restrictive clause</w:t>
      </w:r>
      <w:r>
        <w:t xml:space="preserve"> </w:t>
      </w:r>
      <w:r>
        <w:t xml:space="preserve">is a relative clause that adds information the reader does not need</w:t>
      </w:r>
      <w:r>
        <w:t xml:space="preserve"> </w:t>
      </w:r>
      <w:r>
        <w:t xml:space="preserve">in order to know which thing you mean.</w:t>
      </w:r>
    </w:p>
    <w:bookmarkEnd w:id="13"/>
    <w:p>
      <w:pPr>
        <w:pStyle w:val="BodyText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hyperlink w:anchor="def-restrictive-clause">
        <w:r>
          <w:rPr>
            <w:rStyle w:val="Hyperlink"/>
          </w:rPr>
          <w:t xml:space="preserve">restrictive clause</w:t>
        </w:r>
      </w:hyperlink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hyperlink w:anchor="def-non-restrictive-clause">
        <w:r>
          <w:rPr>
            <w:rStyle w:val="Hyperlink"/>
          </w:rPr>
          <w:t xml:space="preserve">non-restrictive clause</w:t>
        </w:r>
      </w:hyperlink>
      <w:r>
        <w:t xml:space="preserve">.</w:t>
      </w:r>
    </w:p>
    <w:bookmarkStart w:id="14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  <w:r>
        <w:t xml:space="preserve"> 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4"/>
    <w:bookmarkStart w:id="15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  <w:r>
        <w:t xml:space="preserve"> 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5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6"/>
    <w:bookmarkStart w:id="18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7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  <w:r>
        <w:t xml:space="preserve"> 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7"/>
    <w:bookmarkEnd w:id="18"/>
    <w:bookmarkEnd w:id="19"/>
    <w:bookmarkStart w:id="21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  <w:r>
        <w:t xml:space="preserve"> 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20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  <w:r>
        <w:t xml:space="preserve"> 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  <w:r>
        <w:t xml:space="preserve"> </w:t>
      </w:r>
    </w:p>
    <w:p>
      <w:pPr>
        <w:pStyle w:val="BlockText"/>
      </w:pPr>
      <w:r>
        <w:t xml:space="preserve">❌ The first model’s estimates were biased upward.</w:t>
      </w:r>
      <w:r>
        <w:t xml:space="preserve"> </w:t>
      </w:r>
      <w:r>
        <w:t xml:space="preserve">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  <w:r>
        <w:t xml:space="preserve"> </w:t>
      </w:r>
    </w:p>
    <w:p>
      <w:pPr>
        <w:pStyle w:val="BlockText"/>
      </w:pPr>
      <w:r>
        <w:t xml:space="preserve">✅ The first model’s estimates were biased upward.</w:t>
      </w:r>
      <w:r>
        <w:t xml:space="preserve"> </w:t>
      </w:r>
      <w:r>
        <w:t xml:space="preserve">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  <w:r>
        <w:t xml:space="preserve"> 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20"/>
    <w:bookmarkEnd w:id="21"/>
    <w:bookmarkStart w:id="23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  <w:r>
        <w:t xml:space="preserve"> </w:t>
      </w:r>
    </w:p>
    <w:bookmarkStart w:id="22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  <w:r>
        <w:t xml:space="preserve"> 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2"/>
    <w:bookmarkEnd w:id="23"/>
    <w:bookmarkStart w:id="26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5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5"/>
    <w:bookmarkEnd w:id="26"/>
    <w:bookmarkStart w:id="30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9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7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</w:t>
      </w:r>
      <w:r>
        <w:t xml:space="preserve"> </w:t>
      </w:r>
      <w:hyperlink r:id="rId2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9"/>
    <w:bookmarkEnd w:id="30"/>
    <w:bookmarkStart w:id="32" w:name="appositive-fronting"/>
    <w:p>
      <w:pPr>
        <w:pStyle w:val="Heading2"/>
      </w:pPr>
      <w:r>
        <w:t xml:space="preserve">6 Appositive fronting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i/>
          <w:iCs/>
        </w:rPr>
        <w:t xml:space="preserve">appositive</w:t>
      </w:r>
      <w:r>
        <w:t xml:space="preserve"> </w:t>
      </w:r>
      <w:r>
        <w:t xml:space="preserve">is a noun phrase that renames or describes the noun beside it.</w:t>
      </w:r>
      <w:r>
        <w:t xml:space="preserve"> </w:t>
      </w:r>
      <w:r>
        <w:t xml:space="preserve">In</w:t>
      </w:r>
      <w:r>
        <w:t xml:space="preserve"> </w:t>
      </w:r>
      <w:r>
        <w:t xml:space="preserve">“Bovine respiratory disease (BRD), a disease complex with a multifactorial etiology, kills calves”</w:t>
      </w:r>
      <w:r>
        <w:t xml:space="preserve">,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is an appositive of</w:t>
      </w:r>
      <w:r>
        <w:t xml:space="preserve"> </w:t>
      </w:r>
      <w:r>
        <w:t xml:space="preserve">“BRD”</w:t>
      </w:r>
      <w:r>
        <w:t xml:space="preserve">.</w:t>
      </w:r>
      <w:r>
        <w:t xml:space="preserve"> </w:t>
      </w:r>
      <w:r>
        <w:rPr>
          <w:i/>
          <w:iCs/>
        </w:rPr>
        <w:t xml:space="preserve">Appositive fronting</w:t>
      </w:r>
      <w:r>
        <w:t xml:space="preserve"> </w:t>
      </w:r>
      <w:r>
        <w:t xml:space="preserve">moves the appositive to the start of the sentence,</w:t>
      </w:r>
      <w:r>
        <w:t xml:space="preserve"> </w:t>
      </w:r>
      <w:r>
        <w:t xml:space="preserve">before the noun it describes, which then follows as the subject:</w:t>
      </w:r>
      <w:r>
        <w:t xml:space="preserve"> </w:t>
      </w:r>
      <w:r>
        <w:t xml:space="preserve">“A disease complex with a multifactorial etiology, BRD is a leading cause of mortality in calves.”</w:t>
      </w:r>
      <w:r>
        <w:t xml:space="preserve"> </w:t>
      </w:r>
      <w:r>
        <w:t xml:space="preserve">Often the subject becomes a pronoun, as in</w:t>
      </w:r>
      <w:r>
        <w:t xml:space="preserve"> </w:t>
      </w:r>
      <w:r>
        <w:t xml:space="preserve">“A disease complex with a multifactorial etiology, it is a leading cause of mortality in calves”</w:t>
      </w:r>
      <w:r>
        <w:t xml:space="preserve">,</w:t>
      </w:r>
      <w:r>
        <w:t xml:space="preserve"> </w:t>
      </w:r>
      <w:r>
        <w:t xml:space="preserve">which needs an antecedent for</w:t>
      </w:r>
      <w:r>
        <w:t xml:space="preserve"> </w:t>
      </w:r>
      <w:r>
        <w:t xml:space="preserve">“it”</w:t>
      </w:r>
      <w:r>
        <w:t xml:space="preserve"> </w:t>
      </w:r>
      <w:r>
        <w:t xml:space="preserve">in the sentence before.</w:t>
      </w:r>
    </w:p>
    <w:p>
      <w:pPr>
        <w:pStyle w:val="BodyText"/>
      </w:pPr>
      <w:r>
        <w:t xml:space="preserve">Fronting is a stylistic choice, with costs and benefits.</w:t>
      </w:r>
    </w:p>
    <w:p>
      <w:pPr>
        <w:pStyle w:val="BodyText"/>
      </w:pPr>
      <w:r>
        <w:rPr>
          <w:b/>
          <w:bCs/>
        </w:rPr>
        <w:t xml:space="preserve">Benefits</w:t>
      </w:r>
      <w:r>
        <w:t xml:space="preserve"> </w:t>
      </w:r>
    </w:p>
    <w:p>
      <w:pPr>
        <w:pStyle w:val="Compact"/>
        <w:numPr>
          <w:ilvl w:val="0"/>
          <w:numId w:val="1006"/>
        </w:numPr>
      </w:pPr>
      <w:r>
        <w:t xml:space="preserve">It states the category before the specifics.</w:t>
      </w:r>
      <w:r>
        <w:t xml:space="preserve"> </w:t>
      </w:r>
      <w:r>
        <w:t xml:space="preserve">The reader learns what kind of thing the subject is,</w:t>
      </w:r>
      <w:r>
        <w:t xml:space="preserve"> </w:t>
      </w:r>
      <w:r>
        <w:t xml:space="preserve">then what is said about it.</w:t>
      </w:r>
    </w:p>
    <w:p>
      <w:pPr>
        <w:pStyle w:val="Compact"/>
        <w:numPr>
          <w:ilvl w:val="0"/>
          <w:numId w:val="1006"/>
        </w:numPr>
      </w:pPr>
      <w:r>
        <w:t xml:space="preserve">It joins two statements without a connecting verb such as</w:t>
      </w:r>
      <w:r>
        <w:t xml:space="preserve"> </w:t>
      </w:r>
      <w:r>
        <w:t xml:space="preserve">“is”</w:t>
      </w:r>
      <w:r>
        <w:t xml:space="preserve"> </w:t>
      </w:r>
      <w:r>
        <w:t xml:space="preserve">or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so the sentence is shorter.</w:t>
      </w:r>
    </w:p>
    <w:p>
      <w:pPr>
        <w:pStyle w:val="Compact"/>
        <w:numPr>
          <w:ilvl w:val="0"/>
          <w:numId w:val="1006"/>
        </w:numPr>
      </w:pPr>
      <w:r>
        <w:t xml:space="preserve">It puts a familiar description first and the new claim last,</w:t>
      </w:r>
      <w:r>
        <w:t xml:space="preserve"> </w:t>
      </w:r>
      <w:r>
        <w:t xml:space="preserve">where the reader’s attention lands.</w:t>
      </w:r>
    </w:p>
    <w:p>
      <w:pPr>
        <w:pStyle w:val="FirstParagraph"/>
      </w:pPr>
      <w:r>
        <w:rPr>
          <w:b/>
          <w:bCs/>
        </w:rPr>
        <w:t xml:space="preserve">Costs</w:t>
      </w:r>
      <w:r>
        <w:t xml:space="preserve"> </w:t>
      </w:r>
    </w:p>
    <w:p>
      <w:pPr>
        <w:pStyle w:val="Compact"/>
        <w:numPr>
          <w:ilvl w:val="0"/>
          <w:numId w:val="1007"/>
        </w:numPr>
      </w:pPr>
      <w:r>
        <w:t xml:space="preserve">The fronted phrase must describe the grammatical subject that follows.</w:t>
      </w:r>
      <w:r>
        <w:t xml:space="preserve"> </w:t>
      </w:r>
      <w:r>
        <w:t xml:space="preserve">Otherwise it dangles:</w:t>
      </w:r>
      <w:r>
        <w:t xml:space="preserve"> </w:t>
      </w:r>
      <w:r>
        <w:t xml:space="preserve">“A disease complex with a multifactorial etiology, mortality in calves is high”</w:t>
      </w:r>
      <w:r>
        <w:t xml:space="preserve"> </w:t>
      </w:r>
      <w:r>
        <w:t xml:space="preserve">says that mortality is a disease complex.</w:t>
      </w:r>
    </w:p>
    <w:p>
      <w:pPr>
        <w:pStyle w:val="Compact"/>
        <w:numPr>
          <w:ilvl w:val="0"/>
          <w:numId w:val="1007"/>
        </w:numPr>
      </w:pPr>
      <w:r>
        <w:t xml:space="preserve">The reader waits for the subject and verb,</w:t>
      </w:r>
      <w:r>
        <w:t xml:space="preserve"> </w:t>
      </w:r>
      <w:r>
        <w:t xml:space="preserve">which runs against the advice to</w:t>
      </w:r>
      <w:r>
        <w:t xml:space="preserve"> </w:t>
      </w:r>
      <w:hyperlink r:id="rId27">
        <w:r>
          <w:rPr>
            <w:rStyle w:val="Hyperlink"/>
          </w:rPr>
          <w:t xml:space="preserve">lead with the subject</w:t>
        </w:r>
      </w:hyperlink>
      <w:r>
        <w:t xml:space="preserve">.</w:t>
      </w:r>
      <w:r>
        <w:t xml:space="preserve"> </w:t>
      </w:r>
      <w:r>
        <w:t xml:space="preserve">A long fronted appositive delays them, and a reader may take the phrase for the subject</w:t>
      </w:r>
      <w:r>
        <w:t xml:space="preserve"> </w:t>
      </w:r>
      <w:r>
        <w:t xml:space="preserve">(compare</w:t>
      </w:r>
      <w:r>
        <w:t xml:space="preserve"> </w:t>
      </w:r>
      <w:hyperlink w:anchor="avoid-garden-path-sentences">
        <w:r>
          <w:rPr>
            <w:rStyle w:val="Hyperlink"/>
          </w:rPr>
          <w:t xml:space="preserve">Avoid garden-path sentences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sentence no longer asserts the description as a main-clause claim,</w:t>
      </w:r>
      <w:r>
        <w:t xml:space="preserve"> </w:t>
      </w:r>
      <w:r>
        <w:t xml:space="preserve">so the reader may treat it as background even when it is the point.</w:t>
      </w:r>
    </w:p>
    <w:p>
      <w:pPr>
        <w:pStyle w:val="Compact"/>
        <w:numPr>
          <w:ilvl w:val="0"/>
          <w:numId w:val="1007"/>
        </w:numPr>
      </w:pPr>
      <w:r>
        <w:t xml:space="preserve">A pronoun subject (</w:t>
      </w:r>
      <w:r>
        <w:t xml:space="preserve">“it”</w:t>
      </w:r>
      <w:r>
        <w:t xml:space="preserve">) needs an antecedent in the previous sentence.</w:t>
      </w:r>
      <w:r>
        <w:t xml:space="preserve"> </w:t>
      </w:r>
      <w:r>
        <w:t xml:space="preserve">A reader who cannot find it must stop to look.</w:t>
      </w:r>
    </w:p>
    <w:p>
      <w:pPr>
        <w:pStyle w:val="Compact"/>
        <w:numPr>
          <w:ilvl w:val="0"/>
          <w:numId w:val="1007"/>
        </w:numPr>
      </w:pPr>
      <w:r>
        <w:t xml:space="preserve">It reads as more formal and literary, which suits some venues and not others.</w:t>
      </w:r>
    </w:p>
    <w:p>
      <w:pPr>
        <w:pStyle w:val="FirstParagraph"/>
      </w:pPr>
      <w:r>
        <w:rPr>
          <w:b/>
          <w:bCs/>
        </w:rPr>
        <w:t xml:space="preserve">Guideline.</w:t>
      </w:r>
      <w:r>
        <w:t xml:space="preserve"> </w:t>
      </w:r>
      <w:r>
        <w:t xml:space="preserve">Front an appositive when it is short, familiar to the reader, and describes the subject.</w:t>
      </w:r>
      <w:r>
        <w:t xml:space="preserve"> </w:t>
      </w:r>
      <w:r>
        <w:t xml:space="preserve">Keep the plain</w:t>
      </w:r>
      <w:r>
        <w:t xml:space="preserve"> </w:t>
      </w:r>
      <w:r>
        <w:t xml:space="preserve">“X is Y”</w:t>
      </w:r>
      <w:r>
        <w:t xml:space="preserve"> </w:t>
      </w:r>
      <w:r>
        <w:t xml:space="preserve">form when the description is the new information the paper depends on,</w:t>
      </w:r>
      <w:r>
        <w:t xml:space="preserve"> </w:t>
      </w:r>
      <w:r>
        <w:t xml:space="preserve">when it is long,</w:t>
      </w:r>
      <w:r>
        <w:t xml:space="preserve"> </w:t>
      </w:r>
      <w:r>
        <w:t xml:space="preserve">or when the subject is a pronoun without a clear antecedent.</w:t>
      </w:r>
    </w:p>
    <w:bookmarkStart w:id="31" w:name="exm-appositive-fronting"/>
    <w:p>
      <w:pPr>
        <w:pStyle w:val="BodyText"/>
      </w:pPr>
      <w:r>
        <w:rPr>
          <w:b/>
          <w:bCs/>
        </w:rPr>
        <w:t xml:space="preserve">Example 8 (Plain and fronted forms)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Plain: Bovine respiratory disease (BRD) is a disease complex with a multifactorial etiology</w:t>
      </w:r>
      <w:r>
        <w:t xml:space="preserve"> </w:t>
      </w:r>
      <w:r>
        <w:t xml:space="preserve">and serves as a significant cause of mortality among preweaned calves and weaned cattle alike.</w:t>
      </w:r>
    </w:p>
    <w:p>
      <w:pPr>
        <w:pStyle w:val="BlockText"/>
      </w:pPr>
      <w:r>
        <w:t xml:space="preserve">Fronted: A disease complex with a multifactorial etiology,</w:t>
      </w:r>
      <w:r>
        <w:t xml:space="preserve"> </w:t>
      </w:r>
      <w:r>
        <w:t xml:space="preserve">BRD is a leading cause of mortality in both preweaned calves and weaned cattle.</w:t>
      </w:r>
    </w:p>
    <w:p>
      <w:pPr>
        <w:pStyle w:val="FirstParagraph"/>
      </w:pPr>
      <w:r>
        <w:t xml:space="preserve">The fronted version is shorter and puts the category first.</w:t>
      </w:r>
      <w:r>
        <w:t xml:space="preserve"> </w:t>
      </w:r>
      <w:r>
        <w:t xml:space="preserve">It works here because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describes BRD,</w:t>
      </w:r>
      <w:r>
        <w:t xml:space="preserve"> </w:t>
      </w:r>
      <w:r>
        <w:t xml:space="preserve">the subject that follows it, and the subject is named, not a pronoun.</w:t>
      </w:r>
      <w:r>
        <w:t xml:space="preserve"> </w:t>
      </w:r>
      <w:r>
        <w:t xml:space="preserve">If the multifactorial etiology is what the paper is about,</w:t>
      </w:r>
      <w:r>
        <w:t xml:space="preserve"> </w:t>
      </w:r>
      <w:r>
        <w:t xml:space="preserve">the plain form states it as a claim the reader can challenge, and is the better choice.</w:t>
      </w:r>
    </w:p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7" Type="http://schemas.openxmlformats.org/officeDocument/2006/relationships/hyperlink" Target="conciseness.qmd#lead-with-the-subject" TargetMode="External"/><Relationship Id="rId28" Type="http://schemas.openxmlformats.org/officeDocument/2006/relationships/hyperlink" Target="defining-terms.qmd#def-term" TargetMode="External"/><Relationship Id="rId24" Type="http://schemas.openxmlformats.org/officeDocument/2006/relationships/hyperlink" Target="https://en.wikipedia.org/wiki/Garden-path_sentence" TargetMode="External"/></Relationships>
</file>

<file path=word/_rels/footnotes.xml.rels><?xml version='1.0' encoding='UTF-8' standalone='yes'?>
<Relationships xmlns="http://schemas.openxmlformats.org/package/2006/relationships"><Relationship Id="rId27" Type="http://schemas.openxmlformats.org/officeDocument/2006/relationships/hyperlink" Target="conciseness.qmd#lead-with-the-subject" TargetMode="External"/><Relationship Id="rId28" Type="http://schemas.openxmlformats.org/officeDocument/2006/relationships/hyperlink" Target="defining-terms.qmd#def-term" TargetMode="External"/><Relationship Id="rId24" Type="http://schemas.openxmlformats.org/officeDocument/2006/relationships/hyperlink" Target="https://en.wikipedia.org/wiki/Garden-path_sente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2026-10-28T20:22:47Z</dcterms:created>
  <dcterms:modified xsi:type="dcterms:W3CDTF">2026-10-28T20:22:47Z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13:18:47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