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2026-10-26 14:13:25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17:48:28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encounters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encounter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31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nearly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 figure of its data, model or results (Ezra, 2026-10-23).</w:t>
      </w:r>
      <w:r>
        <w:t xml:space="preserve"> </w:t>
      </w:r>
      <w:r>
        <w:t xml:space="preserve">When an example has no figure, state the reason in that div.</w:t>
      </w:r>
      <w:r>
        <w:t xml:space="preserve"> </w:t>
      </w:r>
      <w:r>
        <w:t xml:space="preserve">Put the figure inside the div,</w:t>
      </w:r>
      <w:r>
        <w:t xml:space="preserve"> </w:t>
      </w:r>
      <w:r>
        <w:t xml:space="preserve">or include a subfile whose name ends in</w:t>
      </w:r>
      <w:r>
        <w:t xml:space="preserve"> </w:t>
      </w:r>
      <w:r>
        <w:rPr>
          <w:rStyle w:val="VerbatimChar"/>
        </w:rPr>
        <w:t xml:space="preserve">_fig</w:t>
      </w:r>
      <w:r>
        <w:t xml:space="preserve"> </w:t>
      </w:r>
      <w:r>
        <w:t xml:space="preserve">inside the div.</w:t>
      </w:r>
      <w:r>
        <w:t xml:space="preserve"> </w:t>
      </w:r>
      <w:r>
        <w:t xml:space="preserve">When an example has nothing to plot, such as a single number,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inside the div,</w:t>
      </w:r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with why there is nothing to plot.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check-exm-figures</w:t>
      </w:r>
      <w:r>
        <w:t xml:space="preserve"> </w:t>
      </w:r>
      <w:r>
        <w:t xml:space="preserve">workflow in</w:t>
      </w:r>
      <w:r>
        <w:t xml:space="preserve"> </w:t>
      </w:r>
      <w:hyperlink r:id="rId27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example that has no figure and no</w:t>
      </w:r>
      <w:r>
        <w:t xml:space="preserve"> </w:t>
      </w:r>
      <w:r>
        <w:rPr>
          <w:rStyle w:val="VerbatimChar"/>
        </w:rPr>
        <w:t xml:space="preserve">no-figure</w:t>
      </w:r>
      <w:r>
        <w:t xml:space="preserve"> </w:t>
      </w:r>
      <w:r>
        <w:t xml:space="preserve">comment</w:t>
      </w:r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gha#1193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div whose title mentions visualization</w:t>
      </w:r>
      <w:r>
        <w:t xml:space="preserve"> </w:t>
      </w:r>
      <w:r>
        <w:t xml:space="preserve">(</w:t>
      </w:r>
      <w:r>
        <w:rPr>
          <w:i/>
          <w:iCs/>
        </w:rPr>
        <w:t xml:space="preserve">visualize</w:t>
      </w:r>
      <w:r>
        <w:t xml:space="preserve">,</w:t>
      </w:r>
      <w:r>
        <w:t xml:space="preserve"> </w:t>
      </w:r>
      <w:r>
        <w:rPr>
          <w:i/>
          <w:iCs/>
        </w:rPr>
        <w:t xml:space="preserve">visualizing</w:t>
      </w:r>
      <w:r>
        <w:t xml:space="preserve">,</w:t>
      </w:r>
      <w:r>
        <w:t xml:space="preserve"> </w:t>
      </w:r>
      <w:r>
        <w:rPr>
          <w:i/>
          <w:iCs/>
        </w:rPr>
        <w:t xml:space="preserve">visualization</w:t>
      </w:r>
      <w:r>
        <w:t xml:space="preserve">) a corresponding figure (Ezra, 2026-10-26).</w:t>
      </w:r>
      <w:r>
        <w:t xml:space="preserve"> </w:t>
      </w:r>
      <w:r>
        <w:t xml:space="preserve">For an exercise, the figure may sit in the exercise or in its solution.</w:t>
      </w:r>
      <w:r>
        <w:t xml:space="preserve"> </w:t>
      </w:r>
      <w:r>
        <w:t xml:space="preserve">The rule also covers any div that asks for a picture:</w:t>
      </w:r>
      <w:r>
        <w:t xml:space="preserve"> </w:t>
      </w:r>
      <w:r>
        <w:t xml:space="preserve">a title or an exercise prompt that says</w:t>
      </w:r>
      <w:r>
        <w:t xml:space="preserve"> </w:t>
      </w:r>
      <w:r>
        <w:rPr>
          <w:i/>
          <w:iCs/>
        </w:rPr>
        <w:t xml:space="preserve">plot</w:t>
      </w:r>
      <w:r>
        <w:t xml:space="preserve">,</w:t>
      </w:r>
      <w:r>
        <w:t xml:space="preserve"> </w:t>
      </w:r>
      <w:r>
        <w:rPr>
          <w:i/>
          <w:iCs/>
        </w:rPr>
        <w:t xml:space="preserve">sketch</w:t>
      </w:r>
      <w:r>
        <w:t xml:space="preserve">,</w:t>
      </w:r>
      <w:r>
        <w:t xml:space="preserve"> </w:t>
      </w:r>
      <w:r>
        <w:rPr>
          <w:i/>
          <w:iCs/>
        </w:rPr>
        <w:t xml:space="preserve">draw</w:t>
      </w:r>
      <w:r>
        <w:t xml:space="preserve">,</w:t>
      </w:r>
      <w:r>
        <w:t xml:space="preserve"> </w:t>
      </w:r>
      <w:r>
        <w:rPr>
          <w:i/>
          <w:iCs/>
        </w:rPr>
        <w:t xml:space="preserve">diagram</w:t>
      </w:r>
      <w:r>
        <w:t xml:space="preserve">, or</w:t>
      </w:r>
      <w:r>
        <w:t xml:space="preserve"> </w:t>
      </w:r>
      <w:r>
        <w:rPr>
          <w:i/>
          <w:iCs/>
        </w:rPr>
        <w:t xml:space="preserve">contour</w:t>
      </w:r>
      <w:r>
        <w:t xml:space="preserve"> </w:t>
      </w:r>
      <w:r>
        <w:t xml:space="preserve">(in any inflection, such as</w:t>
      </w:r>
      <w:r>
        <w:t xml:space="preserve"> </w:t>
      </w:r>
      <w:r>
        <w:rPr>
          <w:i/>
          <w:iCs/>
        </w:rPr>
        <w:t xml:space="preserve">plotting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sketching</w:t>
      </w:r>
      <w:r>
        <w:t xml:space="preserve">),</w:t>
      </w:r>
      <w:r>
        <w:t xml:space="preserve"> </w:t>
      </w:r>
      <w:r>
        <w:t xml:space="preserve">or that asks the reader to mark points on a surface.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check-visualization-figures</w:t>
      </w:r>
      <w:r>
        <w:t xml:space="preserve"> </w:t>
      </w:r>
      <w:r>
        <w:t xml:space="preserve">workflow in</w:t>
      </w:r>
      <w:r>
        <w:t xml:space="preserve"> </w:t>
      </w:r>
      <w:hyperlink r:id="rId27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such div that has no figure in it or in its solution,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comment inside the div suppresses that report,</w:t>
      </w:r>
      <w:r>
        <w:t xml:space="preserve"> </w:t>
      </w:r>
      <w:r>
        <w:t xml:space="preserve">as it does for an example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gha#1262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encounters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30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31"/>
    <w:bookmarkStart w:id="33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32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32"/>
    <w:bookmarkEnd w:id="33"/>
    <w:bookmarkStart w:id="37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4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5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6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7"/>
    <w:bookmarkStart w:id="46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8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9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4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41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42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3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4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5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6"/>
    <w:bookmarkStart w:id="50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7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8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9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50"/>
    <w:bookmarkStart w:id="52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51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52"/>
    <w:bookmarkStart w:id="53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3"/>
    <w:bookmarkStart w:id="54" w:name="X94063c6448bea82c8f1e8d367c642bbe2eda89b"/>
    <w:p>
      <w:pPr>
        <w:pStyle w:val="Heading2"/>
      </w:pPr>
      <w:r>
        <w:t xml:space="preserve">16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4"/>
    <w:bookmarkStart w:id="55" w:name="Xffa5a3357c8672d830c88e1e58a0ef107550647"/>
    <w:p>
      <w:pPr>
        <w:pStyle w:val="Heading2"/>
      </w:pPr>
      <w:r>
        <w:t xml:space="preserve">17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4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encounters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4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4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4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5"/>
    <w:bookmarkStart w:id="56" w:name="make-figures-accessible"/>
    <w:p>
      <w:pPr>
        <w:pStyle w:val="Heading2"/>
      </w:pPr>
      <w:r>
        <w:t xml:space="preserve">18 Make figures accessible</w:t>
      </w:r>
    </w:p>
    <w:p>
      <w:pPr>
        <w:pStyle w:val="Compact"/>
        <w:numPr>
          <w:ilvl w:val="0"/>
          <w:numId w:val="1015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5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5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6"/>
    <w:bookmarkStart w:id="58" w:name="structure-slides-for-the-reader"/>
    <w:p>
      <w:pPr>
        <w:pStyle w:val="Heading2"/>
      </w:pPr>
      <w:r>
        <w:t xml:space="preserve">19 Structure slides for the reader</w:t>
      </w:r>
    </w:p>
    <w:p>
      <w:pPr>
        <w:pStyle w:val="Compact"/>
        <w:numPr>
          <w:ilvl w:val="0"/>
          <w:numId w:val="1016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6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7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6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6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6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6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6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8"/>
    <w:bookmarkStart w:id="60" w:name="X5f21f12cbfc4e3df5e838110af4e52db506fec1"/>
    <w:p>
      <w:pPr>
        <w:pStyle w:val="Heading2"/>
      </w:pPr>
      <w:r>
        <w:t xml:space="preserve">20 Give each concept in a note sheet its own row</w:t>
      </w:r>
    </w:p>
    <w:p>
      <w:pPr>
        <w:pStyle w:val="FirstParagraph"/>
      </w:pPr>
      <w:r>
        <w:t xml:space="preserve">A note sheet is a reference table of formulas with brief labels and no prose.</w:t>
      </w:r>
      <w:r>
        <w:t xml:space="preserve"> </w:t>
      </w:r>
      <w:r>
        <w:t xml:space="preserve">This is one case of</w:t>
      </w:r>
      <w:r>
        <w:t xml:space="preserve"> </w:t>
      </w:r>
      <w:hyperlink w:anchor="Xb68f5757ebba706c680e7c5ed557ac14973d7af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  <w:r>
        <w:t xml:space="preserve"> </w:t>
      </w:r>
      <w:r>
        <w:t xml:space="preserve">Give each concept its own row.</w:t>
      </w:r>
      <w:r>
        <w:t xml:space="preserve"> </w:t>
      </w:r>
      <w:r>
        <w:t xml:space="preserve">A row holds one formula and one short label.</w:t>
      </w:r>
    </w:p>
    <w:p>
      <w:pPr>
        <w:pStyle w:val="Compact"/>
        <w:numPr>
          <w:ilvl w:val="0"/>
          <w:numId w:val="1017"/>
        </w:numPr>
      </w:pPr>
      <w:r>
        <w:t xml:space="preserve">Never put two definitions in one row.</w:t>
      </w:r>
    </w:p>
    <w:p>
      <w:pPr>
        <w:pStyle w:val="Compact"/>
        <w:numPr>
          <w:ilvl w:val="0"/>
          <w:numId w:val="1017"/>
        </w:numPr>
      </w:pPr>
      <w:r>
        <w:t xml:space="preserve">Never merge rows to save space.</w:t>
      </w:r>
      <w:r>
        <w:t xml:space="preserve"> </w:t>
      </w:r>
      <w:r>
        <w:t xml:space="preserve">Find the room another way, such as a smaller table font or a second table beside the first.</w:t>
      </w:r>
    </w:p>
    <w:p>
      <w:pPr>
        <w:pStyle w:val="Compact"/>
        <w:numPr>
          <w:ilvl w:val="0"/>
          <w:numId w:val="1017"/>
        </w:numPr>
      </w:pPr>
      <w:r>
        <w:t xml:space="preserve">Never put notation or assumptions inside a label.</w:t>
      </w:r>
      <w:r>
        <w:t xml:space="preserve"> </w:t>
      </w:r>
      <w:r>
        <w:t xml:space="preserve">Give each assumption its own row, and state the notation once in its own row.</w:t>
      </w:r>
    </w:p>
    <w:p>
      <w:pPr>
        <w:pStyle w:val="Compact"/>
        <w:numPr>
          <w:ilvl w:val="0"/>
          <w:numId w:val="1017"/>
        </w:numPr>
      </w:pPr>
      <w:r>
        <w:t xml:space="preserve">Write each formula in its most compact form,</w:t>
      </w:r>
      <w:r>
        <w:t xml:space="preserve"> </w:t>
      </w:r>
      <w:r>
        <w:t xml:space="preserve">built from pieces that have their own rows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FirstParagraph"/>
      </w:pPr>
      <w:r>
        <w:t xml:space="preserve">The same rule applies to every other reference table, such as a table of notation.</w:t>
      </w:r>
    </w:p>
    <w:bookmarkStart w:id="59" w:name="exm-note-sheet-rows"/>
    <w:p>
      <w:pPr>
        <w:pStyle w:val="BodyText"/>
      </w:pPr>
      <w:r>
        <w:rPr>
          <w:b/>
          <w:bCs/>
        </w:rPr>
        <w:t xml:space="preserve">Example 5 (Splitting a merged row)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Row:</w:t>
      </w:r>
      <w:r>
        <w:t xml:space="preserve"> </w:t>
      </w:r>
      <w:r>
        <w:rPr>
          <w:rStyle w:val="VerbatimChar"/>
        </w:rPr>
        <w:t xml:space="preserve">Dot product, sample mean</w:t>
      </w:r>
      <w:r>
        <w:t xml:space="preserve">, with both formulas in one cell.</w:t>
      </w:r>
    </w:p>
    <w:p>
      <w:pPr>
        <w:pStyle w:val="BlockText"/>
      </w:pPr>
      <w:r>
        <w:t xml:space="preserve">✅ Rows:</w:t>
      </w:r>
      <w:r>
        <w:t xml:space="preserve"> </w:t>
      </w:r>
      <w:r>
        <w:rPr>
          <w:rStyle w:val="VerbatimChar"/>
        </w:rPr>
        <w:t xml:space="preserve">Dot product</w:t>
      </w:r>
      <w:r>
        <w:t xml:space="preserve"> </w:t>
      </w:r>
      <w:r>
        <w:t xml:space="preserve">with its formula, then</w:t>
      </w:r>
      <w:r>
        <w:t xml:space="preserve"> </w:t>
      </w:r>
      <w:r>
        <w:rPr>
          <w:rStyle w:val="VerbatimChar"/>
        </w:rPr>
        <w:t xml:space="preserve">Sample mean</w:t>
      </w:r>
      <w:r>
        <w:t xml:space="preserve"> </w:t>
      </w:r>
      <w:r>
        <w:t xml:space="preserve">with its formula.</w:t>
      </w:r>
    </w:p>
    <w:p>
      <w:pPr>
        <w:pStyle w:val="FirstParagraph"/>
      </w:pPr>
      <w:r>
        <w:t xml:space="preserve">The ❌ row makes the reader find where one concept ends and the next begins.</w:t>
      </w:r>
      <w:r>
        <w:t xml:space="preserve"> </w:t>
      </w:r>
      <w:r>
        <w:t xml:space="preserve">The ✅ rows let the reader find one formula by one label.</w:t>
      </w:r>
    </w:p>
    <w:bookmarkEnd w:id="59"/>
    <w:bookmarkEnd w:id="60"/>
    <w:bookmarkStart w:id="61" w:name="talk-about-the-ideas-not-the-notes"/>
    <w:p>
      <w:pPr>
        <w:pStyle w:val="Heading2"/>
      </w:pPr>
      <w:r>
        <w:t xml:space="preserve">21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8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8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61"/>
    <w:bookmarkStart w:id="65" w:name="Xcb579568ef754486ebde8b41ba4528bdf380eec"/>
    <w:p>
      <w:pPr>
        <w:pStyle w:val="Heading2"/>
      </w:pPr>
      <w:r>
        <w:t xml:space="preserve">22 Credit other courses without summarizing them</w:t>
      </w:r>
    </w:p>
    <w:p>
      <w:pPr>
        <w:pStyle w:val="Compact"/>
        <w:numPr>
          <w:ilvl w:val="0"/>
          <w:numId w:val="1019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62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9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63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9"/>
        </w:numPr>
      </w:pPr>
      <w:r>
        <w:t xml:space="preserve">Title a section by its topic, not by its author or course.</w:t>
      </w:r>
      <w:r>
        <w:t xml:space="preserve"> </w:t>
      </w:r>
      <w:hyperlink r:id="rId64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9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65"/>
    <w:bookmarkStart w:id="74" w:name="rules-that-apply-to-all-writing"/>
    <w:p>
      <w:pPr>
        <w:pStyle w:val="Heading2"/>
      </w:pPr>
      <w:r>
        <w:t xml:space="preserve">23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20"/>
        </w:numPr>
      </w:pPr>
      <w:hyperlink r:id="rId66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hyperlink r:id="rId67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20"/>
        </w:numPr>
      </w:pPr>
      <w:hyperlink r:id="rId68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hyperlink r:id="rId69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20"/>
        </w:numPr>
      </w:pPr>
      <w:hyperlink r:id="rId70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73" w:name="refs"/>
    <w:bookmarkStart w:id="72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71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70" Type="http://schemas.openxmlformats.org/officeDocument/2006/relationships/hyperlink" Target="avoid-cliches.qmd" TargetMode="External"/><Relationship Id="rId62" Type="http://schemas.openxmlformats.org/officeDocument/2006/relationships/hyperlink" Target="citations-evidence.qmd#adapting-another-courses-material" TargetMode="External"/><Relationship Id="rId64" Type="http://schemas.openxmlformats.org/officeDocument/2006/relationships/hyperlink" Target="citations-evidence.qmd#put-the-content-first" TargetMode="External"/><Relationship Id="rId63" Type="http://schemas.openxmlformats.org/officeDocument/2006/relationships/hyperlink" Target="citations-evidence.qmd#quote-the-original" TargetMode="External"/><Relationship Id="rId66" Type="http://schemas.openxmlformats.org/officeDocument/2006/relationships/hyperlink" Target="conciseness.qmd#lead-with-the-subject" TargetMode="External"/><Relationship Id="rId57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7" Type="http://schemas.openxmlformats.org/officeDocument/2006/relationships/hyperlink" Target="grammar.qmd#demonstrative-pronouns" TargetMode="External"/><Relationship Id="rId44" Type="http://schemas.openxmlformats.org/officeDocument/2006/relationships/hyperlink" Target="https://cran.r-project.org/package=broom" TargetMode="External"/><Relationship Id="rId39" Type="http://schemas.openxmlformats.org/officeDocument/2006/relationships/hyperlink" Target="https://cran.r-project.org/package=gtsummary" TargetMode="External"/><Relationship Id="rId71" Type="http://schemas.openxmlformats.org/officeDocument/2006/relationships/hyperlink" Target="https://doi.org/10.1073/pnas.1319030111" TargetMode="External"/><Relationship Id="rId47" Type="http://schemas.openxmlformats.org/officeDocument/2006/relationships/hyperlink" Target="https://dplyr.tidyverse.org/" TargetMode="External"/><Relationship Id="rId38" Type="http://schemas.openxmlformats.org/officeDocument/2006/relationships/hyperlink" Target="https://easystats.github.io/parameters/" TargetMode="External"/><Relationship Id="rId43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40" Type="http://schemas.openxmlformats.org/officeDocument/2006/relationships/hyperlink" Target="https://ggplot2.tidyverse.org/" TargetMode="External"/><Relationship Id="rId35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27" Type="http://schemas.openxmlformats.org/officeDocument/2006/relationships/hyperlink" Target="https://github.com/Morrison-Lab/gha" TargetMode="External"/><Relationship Id="rId28" Type="http://schemas.openxmlformats.org/officeDocument/2006/relationships/hyperlink" Target="https://github.com/Morrison-Lab/gha/issues/1193" TargetMode="External"/><Relationship Id="rId29" Type="http://schemas.openxmlformats.org/officeDocument/2006/relationships/hyperlink" Target="https://github.com/Morrison-Lab/gha/pull/1262" TargetMode="External"/><Relationship Id="rId45" Type="http://schemas.openxmlformats.org/officeDocument/2006/relationships/hyperlink" Target="https://github.com/d-morrison/rme" TargetMode="External"/><Relationship Id="rId36" Type="http://schemas.openxmlformats.org/officeDocument/2006/relationships/hyperlink" Target="https://github.com/intro-stat-learning/ISLP_labs" TargetMode="External"/><Relationship Id="rId51" Type="http://schemas.openxmlformats.org/officeDocument/2006/relationships/hyperlink" Target="https://github.com/quarto-ext/include-code-files" TargetMode="External"/><Relationship Id="rId42" Type="http://schemas.openxmlformats.org/officeDocument/2006/relationships/hyperlink" Target="https://strengejacke.github.io/ggeffects/" TargetMode="External"/><Relationship Id="rId41" Type="http://schemas.openxmlformats.org/officeDocument/2006/relationships/hyperlink" Target="https://strengejacke.github.io/sjPlot/" TargetMode="External"/><Relationship Id="rId49" Type="http://schemas.openxmlformats.org/officeDocument/2006/relationships/hyperlink" Target="https://tibble.tidyverse.org/" TargetMode="External"/><Relationship Id="rId48" Type="http://schemas.openxmlformats.org/officeDocument/2006/relationships/hyperlink" Target="https://tidyr.tidyverse.org/" TargetMode="External"/><Relationship Id="rId34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30" Type="http://schemas.openxmlformats.org/officeDocument/2006/relationships/hyperlink" Target="paper-organization.qmd#figures-and-tables" TargetMode="External"/><Relationship Id="rId69" Type="http://schemas.openxmlformats.org/officeDocument/2006/relationships/hyperlink" Target="word-choice.qmd#avoid-vague-and-metaphorical-language" TargetMode="External"/><Relationship Id="rId68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70" Type="http://schemas.openxmlformats.org/officeDocument/2006/relationships/hyperlink" Target="avoid-cliches.qmd" TargetMode="External"/><Relationship Id="rId62" Type="http://schemas.openxmlformats.org/officeDocument/2006/relationships/hyperlink" Target="citations-evidence.qmd#adapting-another-courses-material" TargetMode="External"/><Relationship Id="rId64" Type="http://schemas.openxmlformats.org/officeDocument/2006/relationships/hyperlink" Target="citations-evidence.qmd#put-the-content-first" TargetMode="External"/><Relationship Id="rId63" Type="http://schemas.openxmlformats.org/officeDocument/2006/relationships/hyperlink" Target="citations-evidence.qmd#quote-the-original" TargetMode="External"/><Relationship Id="rId66" Type="http://schemas.openxmlformats.org/officeDocument/2006/relationships/hyperlink" Target="conciseness.qmd#lead-with-the-subject" TargetMode="External"/><Relationship Id="rId57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7" Type="http://schemas.openxmlformats.org/officeDocument/2006/relationships/hyperlink" Target="grammar.qmd#demonstrative-pronouns" TargetMode="External"/><Relationship Id="rId44" Type="http://schemas.openxmlformats.org/officeDocument/2006/relationships/hyperlink" Target="https://cran.r-project.org/package=broom" TargetMode="External"/><Relationship Id="rId39" Type="http://schemas.openxmlformats.org/officeDocument/2006/relationships/hyperlink" Target="https://cran.r-project.org/package=gtsummary" TargetMode="External"/><Relationship Id="rId71" Type="http://schemas.openxmlformats.org/officeDocument/2006/relationships/hyperlink" Target="https://doi.org/10.1073/pnas.1319030111" TargetMode="External"/><Relationship Id="rId47" Type="http://schemas.openxmlformats.org/officeDocument/2006/relationships/hyperlink" Target="https://dplyr.tidyverse.org/" TargetMode="External"/><Relationship Id="rId38" Type="http://schemas.openxmlformats.org/officeDocument/2006/relationships/hyperlink" Target="https://easystats.github.io/parameters/" TargetMode="External"/><Relationship Id="rId43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40" Type="http://schemas.openxmlformats.org/officeDocument/2006/relationships/hyperlink" Target="https://ggplot2.tidyverse.org/" TargetMode="External"/><Relationship Id="rId35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27" Type="http://schemas.openxmlformats.org/officeDocument/2006/relationships/hyperlink" Target="https://github.com/Morrison-Lab/gha" TargetMode="External"/><Relationship Id="rId28" Type="http://schemas.openxmlformats.org/officeDocument/2006/relationships/hyperlink" Target="https://github.com/Morrison-Lab/gha/issues/1193" TargetMode="External"/><Relationship Id="rId29" Type="http://schemas.openxmlformats.org/officeDocument/2006/relationships/hyperlink" Target="https://github.com/Morrison-Lab/gha/pull/1262" TargetMode="External"/><Relationship Id="rId45" Type="http://schemas.openxmlformats.org/officeDocument/2006/relationships/hyperlink" Target="https://github.com/d-morrison/rme" TargetMode="External"/><Relationship Id="rId36" Type="http://schemas.openxmlformats.org/officeDocument/2006/relationships/hyperlink" Target="https://github.com/intro-stat-learning/ISLP_labs" TargetMode="External"/><Relationship Id="rId51" Type="http://schemas.openxmlformats.org/officeDocument/2006/relationships/hyperlink" Target="https://github.com/quarto-ext/include-code-files" TargetMode="External"/><Relationship Id="rId42" Type="http://schemas.openxmlformats.org/officeDocument/2006/relationships/hyperlink" Target="https://strengejacke.github.io/ggeffects/" TargetMode="External"/><Relationship Id="rId41" Type="http://schemas.openxmlformats.org/officeDocument/2006/relationships/hyperlink" Target="https://strengejacke.github.io/sjPlot/" TargetMode="External"/><Relationship Id="rId49" Type="http://schemas.openxmlformats.org/officeDocument/2006/relationships/hyperlink" Target="https://tibble.tidyverse.org/" TargetMode="External"/><Relationship Id="rId48" Type="http://schemas.openxmlformats.org/officeDocument/2006/relationships/hyperlink" Target="https://tidyr.tidyverse.org/" TargetMode="External"/><Relationship Id="rId34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30" Type="http://schemas.openxmlformats.org/officeDocument/2006/relationships/hyperlink" Target="paper-organization.qmd#figures-and-tables" TargetMode="External"/><Relationship Id="rId69" Type="http://schemas.openxmlformats.org/officeDocument/2006/relationships/hyperlink" Target="word-choice.qmd#avoid-vague-and-metaphorical-language" TargetMode="External"/><Relationship Id="rId68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2026-10-27T00:54:09Z</dcterms:created>
  <dcterms:modified xsi:type="dcterms:W3CDTF">2026-10-27T00:54:09Z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17:48:28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