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01:29:55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Start w:id="17" w:name="exm-one-definition-per-div"/>
    <w:p>
      <w:pPr>
        <w:pStyle w:val="FirstParagraph"/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 the two laws agree, because multiplication commutes;</w:t>
      </w:r>
      <w:r>
        <w:t xml:space="preserve"> </w:t>
      </w:r>
      <w:r>
        <w:t xml:space="preserve">for matrices the two forms differ, and each needs its own example.</w:t>
      </w:r>
    </w:p>
    <w:bookmarkEnd w:id="17"/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2026-10-14T08:33:20Z</dcterms:created>
  <dcterms:modified xsi:type="dcterms:W3CDTF">2026-10-14T08:33:20Z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