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r>
        <w:t xml:space="preserve">Last modified: 2026-10-15 22:08:24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6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splits the sum,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20" w:name="applying-a-definition-is-a-step"/>
    <w:p>
      <w:pPr>
        <w:pStyle w:val="Heading3"/>
      </w:pPr>
      <w:r>
        <w:t xml:space="preserve">2.1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It is where the general rules meet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19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19"/>
    <w:bookmarkEnd w:id="20"/>
    <w:bookmarkStart w:id="21" w:name="using-a-fact-the-reader-has-not-seen"/>
    <w:p>
      <w:pPr>
        <w:pStyle w:val="Heading3"/>
      </w:pPr>
      <w:r>
        <w:t xml:space="preserve">2.2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1"/>
    <w:bookmarkStart w:id="25" w:name="long-derivations"/>
    <w:p>
      <w:pPr>
        <w:pStyle w:val="Heading3"/>
      </w:pPr>
      <w:r>
        <w:t xml:space="preserve">2.3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2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meets the inner derivative first</w:t>
      </w:r>
      <w:r>
        <w:t xml:space="preserve"> </w:t>
      </w:r>
      <w:r>
        <w:t xml:space="preserve">does not yet know what it is for.</w:t>
      </w:r>
    </w:p>
    <w:bookmarkEnd w:id="22"/>
    <w:bookmarkStart w:id="24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3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3"/>
    <w:bookmarkEnd w:id="24"/>
    <w:bookmarkEnd w:id="25"/>
    <w:bookmarkEnd w:id="26"/>
    <w:bookmarkStart w:id="29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8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8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29"/>
    <w:bookmarkStart w:id="31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0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0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p>
      <w:pPr>
        <w:pStyle w:val="FirstParagraph"/>
      </w:pPr>
      <w:r>
        <w:t xml:space="preserve">In machine learning notes, the prediction function 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and its value at the</w:t>
      </w:r>
      <w:r>
        <w:t xml:space="preserve"> </w:t>
      </w:r>
      <m:oMath>
        <m:r>
          <m:t>i</m:t>
        </m:r>
      </m:oMath>
      <w:r>
        <w:t xml:space="preserve">-th observed input is 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.</w:t>
      </w:r>
      <w:r>
        <w:t xml:space="preserve"> </w:t>
      </w:r>
      <w:r>
        <w:t xml:space="preserve">Define it once as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the fitted value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1"/>
    <w:bookmarkStart w:id="34" w:name="matching-names-and-notation"/>
    <w:p>
      <w:pPr>
        <w:pStyle w:val="Heading2"/>
      </w:pPr>
      <w:r>
        <w:t xml:space="preserve">5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32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33" w:name="exm-name-matches-notation"/>
    <w:p>
      <w:pPr>
        <w:pStyle w:val="BodyText"/>
      </w:pPr>
      <w:r>
        <w:rPr>
          <w:b/>
          <w:bCs/>
        </w:rPr>
        <w:t xml:space="preserve">Example 8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33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End w:id="34"/>
    <w:bookmarkStart w:id="42" w:name="using-shared-macros"/>
    <w:p>
      <w:pPr>
        <w:pStyle w:val="Heading2"/>
      </w:pPr>
      <w:r>
        <w:t xml:space="preserve">6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35" w:name="exm-use-shared-macro"/>
    <w:p>
      <w:pPr>
        <w:pStyle w:val="BodyText"/>
      </w:pPr>
      <w:r>
        <w:rPr>
          <w:b/>
          <w:bCs/>
        </w:rPr>
        <w:t xml:space="preserve">Example 9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35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07"/>
        </w:numPr>
      </w:pPr>
      <w:r>
        <w:t xml:space="preserve">transposes</w:t>
      </w:r>
    </w:p>
    <w:p>
      <w:pPr>
        <w:pStyle w:val="Compact"/>
        <w:numPr>
          <w:ilvl w:val="0"/>
          <w:numId w:val="1007"/>
        </w:numPr>
      </w:pPr>
      <w:r>
        <w:t xml:space="preserve">hats on estimates</w:t>
      </w:r>
    </w:p>
    <w:p>
      <w:pPr>
        <w:pStyle w:val="Compact"/>
        <w:numPr>
          <w:ilvl w:val="0"/>
          <w:numId w:val="1007"/>
        </w:numPr>
      </w:pPr>
      <w:r>
        <w:t xml:space="preserve">expectations</w:t>
      </w:r>
    </w:p>
    <w:p>
      <w:pPr>
        <w:pStyle w:val="Compact"/>
        <w:numPr>
          <w:ilvl w:val="0"/>
          <w:numId w:val="1007"/>
        </w:numPr>
      </w:pPr>
      <w:r>
        <w:t xml:space="preserve">variances</w:t>
      </w:r>
    </w:p>
    <w:p>
      <w:pPr>
        <w:pStyle w:val="Compact"/>
        <w:numPr>
          <w:ilvl w:val="0"/>
          <w:numId w:val="1007"/>
        </w:numPr>
      </w:pPr>
      <w:r>
        <w:t xml:space="preserve">probabilities</w:t>
      </w:r>
    </w:p>
    <w:p>
      <w:pPr>
        <w:pStyle w:val="Compact"/>
        <w:numPr>
          <w:ilvl w:val="0"/>
          <w:numId w:val="1007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</w:p>
    <w:bookmarkStart w:id="36" w:name="exm-semantic-macro-name"/>
    <w:p>
      <w:pPr>
        <w:pStyle w:val="BodyText"/>
      </w:pPr>
      <w:r>
        <w:rPr>
          <w:b/>
          <w:bCs/>
        </w:rPr>
        <w:t xml:space="preserve">Example 10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36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37" w:name="exm-semantic-decorator"/>
    <w:p>
      <w:pPr>
        <w:pStyle w:val="BodyText"/>
      </w:pPr>
      <w:r>
        <w:rPr>
          <w:b/>
          <w:bCs/>
        </w:rPr>
        <w:t xml:space="preserve">Example 11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37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38" w:name="exm-semantic-font"/>
    <w:p>
      <w:pPr>
        <w:pStyle w:val="BodyText"/>
      </w:pPr>
      <w:r>
        <w:rPr>
          <w:b/>
          <w:bCs/>
        </w:rPr>
        <w:t xml:space="preserve">Example 12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38"/>
    <w:p>
      <w:pPr>
        <w:pStyle w:val="BodyText"/>
      </w:pPr>
      <w:r>
        <w:t xml:space="preserve">Latin letters with a fixed role follow the same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39" w:name="exm-semantic-latin-letter"/>
    <w:p>
      <w:pPr>
        <w:pStyle w:val="BodyText"/>
      </w:pPr>
      <w:r>
        <w:rPr>
          <w:b/>
          <w:bCs/>
        </w:rPr>
        <w:t xml:space="preserve">Example 13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39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40" w:name="exm-named-quantity"/>
    <w:p>
      <w:pPr>
        <w:pStyle w:val="BodyText"/>
      </w:pPr>
      <w:r>
        <w:rPr>
          <w:b/>
          <w:bCs/>
        </w:rPr>
        <w:t xml:space="preserve">Example 14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40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41" w:name="exm-semantic-delimiter"/>
    <w:p>
      <w:pPr>
        <w:pStyle w:val="BodyText"/>
      </w:pPr>
      <w:r>
        <w:rPr>
          <w:b/>
          <w:bCs/>
        </w:rPr>
        <w:t xml:space="preserve">Example 15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41"/>
    <w:bookmarkEnd w:id="42"/>
    <w:bookmarkStart w:id="44" w:name="writing-dot-products"/>
    <w:p>
      <w:pPr>
        <w:pStyle w:val="Heading2"/>
      </w:pPr>
      <w:r>
        <w:t xml:space="preserve">7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43" w:name="exm-dot-product"/>
    <w:p>
      <w:pPr>
        <w:pStyle w:val="BodyText"/>
      </w:pPr>
      <w:r>
        <w:rPr>
          <w:b/>
          <w:bCs/>
        </w:rPr>
        <w:t xml:space="preserve">Example 16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43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09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09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09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44"/>
    <w:bookmarkStart w:id="47" w:name="writing-out-notational-shorthands"/>
    <w:p>
      <w:pPr>
        <w:pStyle w:val="Heading2"/>
      </w:pPr>
      <w:r>
        <w:t xml:space="preserve">8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45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46" w:name="exm-notational-shorthand"/>
    <w:p>
      <w:pPr>
        <w:pStyle w:val="BodyText"/>
      </w:pPr>
      <w:r>
        <w:rPr>
          <w:b/>
          <w:bCs/>
        </w:rPr>
        <w:t xml:space="preserve">Example 17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46"/>
    <w:bookmarkEnd w:id="47"/>
    <w:bookmarkStart w:id="49" w:name="stating-assumptions-before-using-them"/>
    <w:p>
      <w:pPr>
        <w:pStyle w:val="Heading2"/>
      </w:pPr>
      <w:r>
        <w:t xml:space="preserve">9 Stating assumptions before using them</w:t>
      </w:r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0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0"/>
        </w:numPr>
      </w:pPr>
      <w:r>
        <w:t xml:space="preserve">a hypothesis of a theorem;</w:t>
      </w:r>
    </w:p>
    <w:p>
      <w:pPr>
        <w:pStyle w:val="Compact"/>
        <w:numPr>
          <w:ilvl w:val="0"/>
          <w:numId w:val="1010"/>
        </w:numPr>
      </w:pPr>
      <w:r>
        <w:t xml:space="preserve">a case split;</w:t>
      </w:r>
    </w:p>
    <w:p>
      <w:pPr>
        <w:pStyle w:val="Compact"/>
        <w:numPr>
          <w:ilvl w:val="0"/>
          <w:numId w:val="1010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bookmarkStart w:id="48" w:name="exm-assumptions-first"/>
    <w:p>
      <w:pPr>
        <w:pStyle w:val="BodyText"/>
      </w:pPr>
      <w:r>
        <w:rPr>
          <w:b/>
          <w:bCs/>
        </w:rPr>
        <w:t xml:space="preserve">Example 18 (Stating the restriction on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before using it)</w:t>
      </w:r>
      <w:r>
        <w:t xml:space="preserve"> </w:t>
      </w:r>
      <w:r>
        <w:t xml:space="preserve">To show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we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near 2 other than 2 itself.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32" Target="defining-terms.qmd#guidelines-for-defining-terms" TargetMode="External" /><Relationship Type="http://schemas.openxmlformats.org/officeDocument/2006/relationships/hyperlink" Id="rId45" Target="https://morrison-lab.github.io/mds/notation.html#sec-notational-shorthands" TargetMode="External" /><Relationship Type="http://schemas.openxmlformats.org/officeDocument/2006/relationships/hyperlink" Id="rId27" Target="notation.qmd#one-operation-per-step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32" Target="defining-terms.qmd#guidelines-for-defining-terms" TargetMode="External" /><Relationship Type="http://schemas.openxmlformats.org/officeDocument/2006/relationships/hyperlink" Id="rId45" Target="https://morrison-lab.github.io/mds/notation.html#sec-notational-shorthands" TargetMode="External" /><Relationship Type="http://schemas.openxmlformats.org/officeDocument/2006/relationships/hyperlink" Id="rId27" Target="notation.qmd#one-operation-per-step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2026-10-16T05:12:41Z</dcterms:created>
  <dcterms:modified xsi:type="dcterms:W3CDTF">2026-10-16T05:12:41Z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22:08:24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