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del w:id="1" w:author="PR Preview" w:date="2026-01-01T00:00:00Z">
        <w:r>
          <w:delText xml:space="preserve">Last modified: 2026-10-16 10:23:00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10:26:16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7" w:name="Xb68f5757ebba706c680e7c5ed557ac14973d7af"/>
    <w:p>
      <w:pPr>
        <w:pStyle w:val="Heading2"/>
      </w:pPr>
      <w:r>
        <w:t xml:space="preserve">2 Build every unit from smaller atomic units</w:t>
      </w:r>
    </w:p>
    <w:p>
      <w:pPr>
        <w:pStyle w:val="FirstParagraph"/>
      </w:pPr>
      <w:r>
        <w:t xml:space="preserve">Make every unit of analysis as concise and minimal as possible.</w:t>
      </w:r>
      <w:r>
        <w:t xml:space="preserve"> </w:t>
      </w:r>
      <w:r>
        <w:t xml:space="preserve">The units are mathematical expressions and divs of every kind:</w:t>
      </w:r>
      <w:r>
        <w:t xml:space="preserve"> </w:t>
      </w:r>
      <w:r>
        <w:t xml:space="preserve">definitions, theorems, lemmas, corollaries, examples, remarks and proofs.</w:t>
      </w:r>
      <w:r>
        <w:t xml:space="preserve"> </w:t>
      </w:r>
      <w:r>
        <w:t xml:space="preserve">When a unit grows complicated, do not write the complexity into it.</w:t>
      </w:r>
      <w:r>
        <w:t xml:space="preserve"> </w:t>
      </w:r>
      <w:r>
        <w:t xml:space="preserve">Abstract the complexity out into smaller, atomic definitions, results and expressions,</w:t>
      </w:r>
      <w:r>
        <w:t xml:space="preserve"> </w:t>
      </w:r>
      <w:r>
        <w:t xml:space="preserve">each with its own name and identifier,</w:t>
      </w:r>
      <w:r>
        <w:t xml:space="preserve"> </w:t>
      </w:r>
      <w:r>
        <w:t xml:space="preserve">and glue the pieces together with hyperlinks.</w:t>
      </w:r>
    </w:p>
    <w:p>
      <w:pPr>
        <w:pStyle w:val="BodyText"/>
      </w:pPr>
      <w:r>
        <w:t xml:space="preserve">This is the compositional approach of</w:t>
      </w:r>
      <w:r>
        <w:t xml:space="preserve"> </w:t>
      </w:r>
      <w:hyperlink r:id="rId14">
        <w:r>
          <w:rPr>
            <w:rStyle w:val="Hyperlink"/>
          </w:rPr>
          <w:t xml:space="preserve">modular programming</w:t>
        </w:r>
      </w:hyperlink>
      <w:r>
        <w:t xml:space="preserve">:</w:t>
      </w:r>
      <w:r>
        <w:t xml:space="preserve"> </w:t>
      </w:r>
      <w:r>
        <w:t xml:space="preserve">a program is built from small, single-purpose modules that call one another,</w:t>
      </w:r>
      <w:r>
        <w:t xml:space="preserve"> </w:t>
      </w:r>
      <w:r>
        <w:t xml:space="preserve">and a maintainer changes one module without reading the rest.</w:t>
      </w:r>
      <w:r>
        <w:t xml:space="preserve"> </w:t>
      </w:r>
      <w:r>
        <w:t xml:space="preserve">The notes work the same way.</w:t>
      </w:r>
      <w:r>
        <w:t xml:space="preserve"> </w:t>
      </w:r>
      <w:r>
        <w:t xml:space="preserve">A theorem links to the definitions it uses,</w:t>
      </w:r>
      <w:r>
        <w:t xml:space="preserve"> </w:t>
      </w:r>
      <w:r>
        <w:t xml:space="preserve">a proof links to the lemmas it uses,</w:t>
      </w:r>
      <w:r>
        <w:t xml:space="preserve"> </w:t>
      </w:r>
      <w:r>
        <w:t xml:space="preserve">and an expression is written with the named pieces it is built from.</w:t>
      </w:r>
    </w:p>
    <w:p>
      <w:pPr>
        <w:pStyle w:val="Compact"/>
        <w:numPr>
          <w:ilvl w:val="0"/>
          <w:numId w:val="1002"/>
        </w:numPr>
      </w:pPr>
      <w:r>
        <w:t xml:space="preserve">A display holds one idea.</w:t>
      </w:r>
      <w:r>
        <w:t xml:space="preserve"> </w:t>
      </w:r>
      <w:r>
        <w:t xml:space="preserve">Name each meaningful sub-expression, give it a macro,</w:t>
      </w:r>
      <w:r>
        <w:t xml:space="preserve"> </w:t>
      </w:r>
      <w:r>
        <w:t xml:space="preserve">and build the display from the names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div holds one term or one result.</w:t>
      </w:r>
      <w:r>
        <w:t xml:space="preserve"> </w:t>
      </w:r>
      <w:r>
        <w:t xml:space="preserve">Move a second term, a side property or a long argument into its own div,</w:t>
      </w:r>
      <w:r>
        <w:t xml:space="preserve"> </w:t>
      </w:r>
      <w:r>
        <w:t xml:space="preserve">and link to it from the place that needs it</w:t>
      </w:r>
      <w:r>
        <w:t xml:space="preserve"> </w:t>
      </w:r>
      <w:r>
        <w:t xml:space="preserve">(see</w:t>
      </w:r>
      <w:r>
        <w:t xml:space="preserve"> </w:t>
      </w:r>
      <w:hyperlink w:anchor="give-each-defined-term-its-own-div">
        <w:r>
          <w:rPr>
            <w:rStyle w:val="Hyperlink"/>
          </w:rPr>
          <w:t xml:space="preserve">Give each defined term its own div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proof states the lemmas it needs and links to them,</w:t>
      </w:r>
      <w:r>
        <w:t xml:space="preserve"> </w:t>
      </w:r>
      <w:r>
        <w:t xml:space="preserve">instead of deriving them in the middle of the argument.</w:t>
      </w:r>
    </w:p>
    <w:p>
      <w:pPr>
        <w:pStyle w:val="Compact"/>
        <w:numPr>
          <w:ilvl w:val="0"/>
          <w:numId w:val="1002"/>
        </w:numPr>
      </w:pPr>
      <w:r>
        <w:t xml:space="preserve">A link replaces a repeated explanation.</w:t>
      </w:r>
      <w:r>
        <w:t xml:space="preserve"> </w:t>
      </w:r>
      <w:r>
        <w:t xml:space="preserve">If a piece is already written, link to it instead of writing it a second time.</w:t>
      </w:r>
    </w:p>
    <w:p>
      <w:pPr>
        <w:pStyle w:val="FirstParagraph"/>
      </w:pPr>
      <w:r>
        <w:t xml:space="preserve">When a unit still looks long, ask what could be named and moved out.</w:t>
      </w:r>
    </w:p>
    <w:bookmarkStart w:id="16" w:name="exm-atomic-units"/>
    <w:p>
      <w:pPr>
        <w:pStyle w:val="BodyText"/>
      </w:pPr>
      <w:r>
        <w:rPr>
          <w:b/>
          <w:bCs/>
        </w:rPr>
        <w:t xml:space="preserve">Example 2 (Splitting one long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One div defines the ridge estimator, defines its penalty, and proves that it shrinks the coefficients.</w:t>
      </w:r>
    </w:p>
    <w:p>
      <w:pPr>
        <w:pStyle w:val="BlockText"/>
      </w:pPr>
      <w:r>
        <w:t xml:space="preserve">✅ Three divs: a definition of the penalty, a definition of the ridge estimator that links to the penalty, and a theorem on shrinkage that links to both.</w:t>
      </w:r>
    </w:p>
    <w:p>
      <w:pPr>
        <w:pStyle w:val="FirstParagraph"/>
      </w:pPr>
      <w:r>
        <w:t xml:space="preserve">The ✅ version lets a later chapter link to the penalty alone,</w:t>
      </w:r>
      <w:r>
        <w:t xml:space="preserve"> </w:t>
      </w:r>
      <w:r>
        <w:t xml:space="preserve">and each piece fits on a slide.</w:t>
      </w:r>
    </w:p>
    <w:bookmarkEnd w:id="16"/>
    <w:bookmarkEnd w:id="17"/>
    <w:bookmarkStart w:id="19" w:name="give-each-defined-term-its-own-div"/>
    <w:p>
      <w:pPr>
        <w:pStyle w:val="Heading2"/>
      </w:pPr>
      <w:r>
        <w:t xml:space="preserve">3 Give each defined term its own div</w:t>
      </w:r>
    </w:p>
    <w:p>
      <w:pPr>
        <w:pStyle w:val="FirstParagraph"/>
      </w:pPr>
      <w:hyperlink r:id="rId18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3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3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3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3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meets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9"/>
    <w:bookmarkStart w:id="20" w:name="state-the-notation-and-its-alternatives"/>
    <w:p>
      <w:pPr>
        <w:pStyle w:val="Heading2"/>
      </w:pPr>
      <w:r>
        <w:t xml:space="preserve">4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meet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20"/>
    <w:bookmarkStart w:id="21" w:name="Xac7e4ead54b12ccf6544491699a177b7d16fa22"/>
    <w:p>
      <w:pPr>
        <w:pStyle w:val="Heading2"/>
      </w:pPr>
      <w:r>
        <w:t xml:space="preserve">5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21"/>
    <w:bookmarkStart w:id="22" w:name="reuse-one-written-version-of-each-result"/>
    <w:p>
      <w:pPr>
        <w:pStyle w:val="Heading2"/>
      </w:pPr>
      <w:r>
        <w:t xml:space="preserve">6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22"/>
    <w:bookmarkStart w:id="24" w:name="use-real-data-and-compute-every-number"/>
    <w:p>
      <w:pPr>
        <w:pStyle w:val="Heading2"/>
      </w:pPr>
      <w:r>
        <w:t xml:space="preserve">7 Use real data and compute every number</w:t>
      </w:r>
    </w:p>
    <w:p>
      <w:pPr>
        <w:pStyle w:val="Compact"/>
        <w:numPr>
          <w:ilvl w:val="0"/>
          <w:numId w:val="1004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4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4"/>
        </w:numPr>
      </w:pPr>
      <w:r>
        <w:t xml:space="preserve">Show the data where it is first mentioned.</w:t>
      </w:r>
      <w:r>
        <w:t xml:space="preserve"> </w:t>
      </w:r>
      <w:r>
        <w:t xml:space="preserve">Put a table of a few rows, or a plot of the variables, directly after the sentence that names the dataset,</w:t>
      </w:r>
      <w:r>
        <w:t xml:space="preserve"> </w:t>
      </w:r>
      <w:r>
        <w:t xml:space="preserve">before any discussion of its features, the methods to apply to it, or the questions it raises.</w:t>
      </w:r>
      <w:r>
        <w:t xml:space="preserve"> </w:t>
      </w:r>
      <w:r>
        <w:t xml:space="preserve">A reader who has seen the data can picture what the next slides describe,</w:t>
      </w:r>
      <w:r>
        <w:t xml:space="preserve"> </w:t>
      </w:r>
      <w:r>
        <w:t xml:space="preserve">while a reader who has not must hold an abstract description in mind until the data appears.</w:t>
      </w:r>
      <w:r>
        <w:t xml:space="preserve"> </w:t>
      </w:r>
      <w:r>
        <w:t xml:space="preserve">If the data are too large to show, show a sample or a summary figure.</w:t>
      </w:r>
      <w:r>
        <w:t xml:space="preserve"> </w:t>
      </w:r>
      <w:r>
        <w:t xml:space="preserve">Link later mentions of the dataset back to this first display.</w:t>
      </w:r>
    </w:p>
    <w:p>
      <w:pPr>
        <w:pStyle w:val="Compact"/>
        <w:numPr>
          <w:ilvl w:val="0"/>
          <w:numId w:val="1004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Start w:id="23" w:name="exm-show-data-first"/>
    <w:p>
      <w:pPr>
        <w:pStyle w:val="FirstParagraph"/>
      </w:pPr>
      <w:r>
        <w:rPr>
          <w:b/>
          <w:bCs/>
        </w:rPr>
        <w:t xml:space="preserve">Example 3 (Showing the data at first mention)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Slides 3 to 9 discuss the spam data’s 57 predictors, its class imbalance</w:t>
      </w:r>
      <w:r>
        <w:t xml:space="preserve"> </w:t>
      </w:r>
      <w:r>
        <w:t xml:space="preserve">and the loss we will minimize.</w:t>
      </w:r>
      <w:r>
        <w:t xml:space="preserve"> </w:t>
      </w:r>
      <w:r>
        <w:t xml:space="preserve">Slide 10 shows a table of the first rows.</w:t>
      </w:r>
    </w:p>
    <w:p>
      <w:pPr>
        <w:pStyle w:val="BlockText"/>
      </w:pPr>
      <w:r>
        <w:t xml:space="preserve">✅ Slide 3 introduces the spam data and shows a table of its first rows</w:t>
      </w:r>
      <w:r>
        <w:t xml:space="preserve"> </w:t>
      </w:r>
      <w:r>
        <w:t xml:space="preserve">and a plot of one predictor by class.</w:t>
      </w:r>
      <w:r>
        <w:t xml:space="preserve"> </w:t>
      </w:r>
      <w:r>
        <w:t xml:space="preserve">Slides 4 to 10 discuss the predictors, the class imbalance and the loss,</w:t>
      </w:r>
      <w:r>
        <w:t xml:space="preserve"> </w:t>
      </w:r>
      <w:r>
        <w:t xml:space="preserve">and refer back to that table and plot.</w:t>
      </w:r>
    </w:p>
    <w:p>
      <w:pPr>
        <w:pStyle w:val="FirstParagraph"/>
      </w:pPr>
      <w:r>
        <w:t xml:space="preserve">The ✅ version lets every later slide refer to something the reader has already seen.</w:t>
      </w:r>
    </w:p>
    <w:bookmarkEnd w:id="23"/>
    <w:bookmarkEnd w:id="24"/>
    <w:bookmarkStart w:id="25" w:name="Xa214254a94aa6db868b5b9577007bf4e27699b1"/>
    <w:p>
      <w:pPr>
        <w:pStyle w:val="Heading2"/>
      </w:pPr>
      <w:r>
        <w:t xml:space="preserve">8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5"/>
        </w:numPr>
      </w:pPr>
      <w:r>
        <w:t xml:space="preserve">Keep a list or table of like items, such as courses, readings, channels or glossary terms,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5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5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5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5"/>
        </w:numPr>
      </w:pPr>
      <w:r>
        <w:t xml:space="preserve">A short list that no other page reads can stay as prose.</w:t>
      </w:r>
    </w:p>
    <w:bookmarkEnd w:id="25"/>
    <w:bookmarkStart w:id="28" w:name="show-each-idea-applied-and-in-a-figure"/>
    <w:p>
      <w:pPr>
        <w:pStyle w:val="Heading2"/>
      </w:pPr>
      <w:r>
        <w:t xml:space="preserve">9 Show each idea applied and in a figure</w:t>
      </w:r>
    </w:p>
    <w:p>
      <w:pPr>
        <w:pStyle w:val="Compact"/>
        <w:numPr>
          <w:ilvl w:val="0"/>
          <w:numId w:val="1006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6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6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6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6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meets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6"/>
        </w:numPr>
      </w:pPr>
      <w:r>
        <w:t xml:space="preserve">Make each figure follow the accessibility rules below.</w:t>
      </w:r>
    </w:p>
    <w:bookmarkEnd w:id="28"/>
    <w:bookmarkStart w:id="30" w:name="X7f95f8ec3b796fc99108c37bb45d62741b824c4"/>
    <w:p>
      <w:pPr>
        <w:pStyle w:val="Heading2"/>
      </w:pPr>
      <w:r>
        <w:t xml:space="preserve">10 Follow every example with an exercise and solution</w:t>
      </w:r>
    </w:p>
    <w:p>
      <w:pPr>
        <w:pStyle w:val="FirstParagraph"/>
      </w:pPr>
      <w:r>
        <w:t xml:space="preserve">Reading a worked example is passive.</w:t>
      </w:r>
      <w:r>
        <w:t xml:space="preserve"> </w:t>
      </w:r>
      <w:r>
        <w:t xml:space="preserve">A reader who has just seen one method applied</w:t>
      </w:r>
      <w:r>
        <w:t xml:space="preserve"> </w:t>
      </w:r>
      <w:r>
        <w:t xml:space="preserve">learns more by applying it to a new case than by reading a second example.</w:t>
      </w:r>
      <w:r>
        <w:t xml:space="preserve"> </w:t>
      </w:r>
      <w:r>
        <w:t xml:space="preserve">So each example gets a practice exercise, with its solution, right after it.</w:t>
      </w:r>
    </w:p>
    <w:p>
      <w:pPr>
        <w:pStyle w:val="Compact"/>
        <w:numPr>
          <w:ilvl w:val="0"/>
          <w:numId w:val="1007"/>
        </w:numPr>
      </w:pPr>
      <w:r>
        <w:t xml:space="preserve">After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div, add an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that asks the reader</w:t>
      </w:r>
      <w:r>
        <w:t xml:space="preserve"> </w:t>
      </w:r>
      <w:r>
        <w:t xml:space="preserve">to do the same thing for a different case,</w:t>
      </w:r>
      <w:r>
        <w:t xml:space="preserve"> </w:t>
      </w:r>
      <w:r>
        <w:t xml:space="preserve">followed by its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div.</w:t>
      </w:r>
      <w:r>
        <w:t xml:space="preserve"> </w:t>
      </w:r>
      <w:r>
        <w:t xml:space="preserve">The exercise changes the data, the function or the question,</w:t>
      </w:r>
      <w:r>
        <w:t xml:space="preserve"> </w:t>
      </w:r>
      <w:r>
        <w:t xml:space="preserve">so the solution is not a copy of the example.</w:t>
      </w:r>
    </w:p>
    <w:p>
      <w:pPr>
        <w:pStyle w:val="Compact"/>
        <w:numPr>
          <w:ilvl w:val="0"/>
          <w:numId w:val="1007"/>
        </w:numPr>
      </w:pPr>
      <w:r>
        <w:t xml:space="preserve">The full sequence for a new idea is therefore:</w:t>
      </w:r>
      <w:r>
        <w:t xml:space="preserve"> </w:t>
      </w:r>
      <w:r>
        <w:t xml:space="preserve">the exercise that poses the question and its solution,</w:t>
      </w:r>
      <w:r>
        <w:t xml:space="preserve"> </w:t>
      </w:r>
      <w:r>
        <w:t xml:space="preserve">the definition or theorem,</w:t>
      </w:r>
      <w:r>
        <w:t xml:space="preserve"> </w:t>
      </w:r>
      <w:r>
        <w:t xml:space="preserve">an example,</w:t>
      </w:r>
      <w:r>
        <w:t xml:space="preserve"> </w:t>
      </w:r>
      <w:r>
        <w:t xml:space="preserve">and a practice exercise with its solution.</w:t>
      </w:r>
    </w:p>
    <w:p>
      <w:pPr>
        <w:pStyle w:val="Compact"/>
        <w:numPr>
          <w:ilvl w:val="0"/>
          <w:numId w:val="1007"/>
        </w:numPr>
      </w:pPr>
      <w:r>
        <w:t xml:space="preserve">More generally, give readers an opportunity to think at every stage:</w:t>
      </w:r>
      <w:r>
        <w:t xml:space="preserve"> </w:t>
      </w:r>
      <w:r>
        <w:t xml:space="preserve">a question they can answer before the next paragraph, a calculation to try,</w:t>
      </w:r>
      <w:r>
        <w:t xml:space="preserve"> </w:t>
      </w:r>
      <w:r>
        <w:t xml:space="preserve">a prediction to make before the code runs.</w:t>
      </w:r>
    </w:p>
    <w:p>
      <w:pPr>
        <w:pStyle w:val="Compact"/>
        <w:numPr>
          <w:ilvl w:val="0"/>
          <w:numId w:val="1007"/>
        </w:numPr>
      </w:pPr>
      <w:r>
        <w:t xml:space="preserve">A counterexample (see</w:t>
      </w:r>
      <w:r>
        <w:t xml:space="preserve"> </w:t>
      </w:r>
      <w:hyperlink r:id="rId18">
        <w:r>
          <w:rPr>
            <w:rStyle w:val="Hyperlink"/>
          </w:rPr>
          <w:t xml:space="preserve">Defining terms clearly</w:t>
        </w:r>
      </w:hyperlink>
      <w:r>
        <w:t xml:space="preserve">)</w:t>
      </w:r>
      <w:r>
        <w:t xml:space="preserve"> </w:t>
      </w:r>
      <w:r>
        <w:t xml:space="preserve">can stand in for the practice exercise</w:t>
      </w:r>
      <w:r>
        <w:t xml:space="preserve"> </w:t>
      </w:r>
      <w:r>
        <w:t xml:space="preserve">when the exercise would be</w:t>
      </w:r>
      <w:r>
        <w:t xml:space="preserve"> </w:t>
      </w:r>
      <w:r>
        <w:t xml:space="preserve">“decide whether this case fits the definition”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Give the practice exercise its own slug and follow the numbering and slide-break rules above.</w:t>
      </w:r>
    </w:p>
    <w:bookmarkStart w:id="29" w:name="exm-practice-after-example"/>
    <w:p>
      <w:pPr>
        <w:pStyle w:val="FirstParagraph"/>
      </w:pPr>
      <w:r>
        <w:rPr>
          <w:b/>
          <w:bCs/>
        </w:rPr>
        <w:t xml:space="preserve">Example 4 (An example followed by a practice exercise)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{#exm-sample-mean}</w:t>
      </w:r>
      <w:r>
        <w:br/>
      </w:r>
      <w:r>
        <w:rPr>
          <w:rStyle w:val="NormalTok"/>
        </w:rPr>
        <w:t xml:space="preserve">(the sample mean of one variable in a real dataset, computed by a code chunk)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{#exr-sample-mean-new-variable}</w:t>
      </w:r>
      <w:r>
        <w:br/>
      </w:r>
      <w:r>
        <w:rPr>
          <w:rStyle w:val="NormalTok"/>
        </w:rPr>
        <w:t xml:space="preserve">Compute the sample mean of a different variable in the same dataset.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{#sol-sample-mean-new-variable}</w:t>
      </w:r>
      <w:r>
        <w:br/>
      </w:r>
      <w:r>
        <w:rPr>
          <w:rStyle w:val="NormalTok"/>
        </w:rPr>
        <w:t xml:space="preserve">(the code chunk and its output)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example shows the method once.</w:t>
      </w:r>
      <w:r>
        <w:t xml:space="preserve"> </w:t>
      </w:r>
      <w:r>
        <w:t xml:space="preserve">The exercise asks the reader to repeat it on a new variable</w:t>
      </w:r>
      <w:r>
        <w:t xml:space="preserve"> </w:t>
      </w:r>
      <w:r>
        <w:t xml:space="preserve">before moving on, and the solution’s numbers still come from running code</w:t>
      </w:r>
      <w:r>
        <w:t xml:space="preserve"> </w:t>
      </w:r>
      <w:r>
        <w:t xml:space="preserve">(see</w:t>
      </w:r>
      <w:r>
        <w:t xml:space="preserve"> </w:t>
      </w:r>
      <w:hyperlink w:anchor="use-real-data-and-compute-every-number">
        <w:r>
          <w:rPr>
            <w:rStyle w:val="Hyperlink"/>
          </w:rPr>
          <w:t xml:space="preserve">Use real data and compute every number</w:t>
        </w:r>
      </w:hyperlink>
      <w:r>
        <w:t xml:space="preserve">).</w:t>
      </w:r>
    </w:p>
    <w:bookmarkEnd w:id="29"/>
    <w:bookmarkEnd w:id="30"/>
    <w:bookmarkStart w:id="34" w:name="Xf27331f4c36c8d578e5fa29a37312484cc3343a"/>
    <w:p>
      <w:pPr>
        <w:pStyle w:val="Heading2"/>
      </w:pPr>
      <w:r>
        <w:t xml:space="preserve">11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8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8"/>
        </w:numPr>
      </w:pPr>
      <w:r>
        <w:t xml:space="preserve">Write the R code with</w:t>
      </w:r>
      <w:r>
        <w:t xml:space="preserve"> </w:t>
      </w:r>
      <w:hyperlink r:id="rId31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32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8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33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8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8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8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8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34"/>
    <w:bookmarkStart w:id="43" w:name="present-r-results-with-modern-packages"/>
    <w:p>
      <w:pPr>
        <w:pStyle w:val="Heading2"/>
      </w:pPr>
      <w:r>
        <w:t xml:space="preserve">12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9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09"/>
        </w:numPr>
      </w:pPr>
      <w:r>
        <w:t xml:space="preserve">Show coefficient tables with</w:t>
      </w:r>
      <w:r>
        <w:t xml:space="preserve"> </w:t>
      </w:r>
      <w:hyperlink r:id="rId35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36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09"/>
        </w:numPr>
      </w:pPr>
      <w:r>
        <w:t xml:space="preserve">Draw figures with</w:t>
      </w:r>
      <w:r>
        <w:t xml:space="preserve"> </w:t>
      </w:r>
      <w:hyperlink r:id="rId37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Draw model plots with packages built on ggplot2:</w:t>
      </w:r>
      <w:r>
        <w:t xml:space="preserve"> </w:t>
      </w:r>
      <w:hyperlink r:id="rId38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39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09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41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Ezra’s</w:t>
      </w:r>
      <w:r>
        <w:t xml:space="preserve"> </w:t>
      </w:r>
      <w:hyperlink r:id="rId42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43"/>
    <w:bookmarkStart w:id="47" w:name="manipulate-data-with-dplyr-not-base-r"/>
    <w:p>
      <w:pPr>
        <w:pStyle w:val="Heading2"/>
      </w:pPr>
      <w:r>
        <w:t xml:space="preserve">13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0"/>
        </w:numPr>
      </w:pPr>
      <w:r>
        <w:t xml:space="preserve">Select columns with</w:t>
      </w:r>
      <w:r>
        <w:t xml:space="preserve"> </w:t>
      </w:r>
      <w:hyperlink r:id="rId44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Drop rows with missing values with</w:t>
      </w:r>
      <w:r>
        <w:t xml:space="preserve"> </w:t>
      </w:r>
      <w:hyperlink r:id="rId45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Build data frames with</w:t>
      </w:r>
      <w:r>
        <w:t xml:space="preserve"> </w:t>
      </w:r>
      <w:hyperlink r:id="rId46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10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47"/>
    <w:bookmarkStart w:id="49" w:name="X2bc6121e3a2f39a37d8a6591d77df16bd22bd0b"/>
    <w:p>
      <w:pPr>
        <w:pStyle w:val="Heading2"/>
      </w:pPr>
      <w:r>
        <w:t xml:space="preserve">14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11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48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11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49"/>
    <w:bookmarkStart w:id="50" w:name="X7c0de8eaf50a5b2644eabf66f1f9b734b8a4a71"/>
    <w:p>
      <w:pPr>
        <w:pStyle w:val="Heading2"/>
      </w:pPr>
      <w:r>
        <w:t xml:space="preserve">15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2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2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2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50"/>
    <w:bookmarkStart w:id="51" w:name="Xffa5a3357c8672d830c88e1e58a0ef107550647"/>
    <w:p>
      <w:pPr>
        <w:pStyle w:val="Heading2"/>
      </w:pPr>
      <w:r>
        <w:t xml:space="preserve">16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3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A student meets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3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</w:p>
    <w:p>
      <w:pPr>
        <w:pStyle w:val="Compact"/>
        <w:numPr>
          <w:ilvl w:val="0"/>
          <w:numId w:val="1013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3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51"/>
    <w:bookmarkStart w:id="52" w:name="make-figures-accessible"/>
    <w:p>
      <w:pPr>
        <w:pStyle w:val="Heading2"/>
      </w:pPr>
      <w:r>
        <w:t xml:space="preserve">17 Make figures accessible</w:t>
      </w:r>
    </w:p>
    <w:p>
      <w:pPr>
        <w:pStyle w:val="Compact"/>
        <w:numPr>
          <w:ilvl w:val="0"/>
          <w:numId w:val="1014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4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4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52"/>
    <w:bookmarkStart w:id="54" w:name="structure-slides-for-the-reader"/>
    <w:p>
      <w:pPr>
        <w:pStyle w:val="Heading2"/>
      </w:pPr>
      <w:r>
        <w:t xml:space="preserve">18 Structure slides for the reader</w:t>
      </w:r>
    </w:p>
    <w:p>
      <w:pPr>
        <w:pStyle w:val="Compact"/>
        <w:numPr>
          <w:ilvl w:val="0"/>
          <w:numId w:val="1015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5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53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5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5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5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5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5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54"/>
    <w:bookmarkStart w:id="55" w:name="talk-about-the-ideas-not-the-notes"/>
    <w:p>
      <w:pPr>
        <w:pStyle w:val="Heading2"/>
      </w:pPr>
      <w:r>
        <w:t xml:space="preserve">19 Talk about the ideas, not the notes</w:t>
      </w:r>
    </w:p>
    <w:p>
      <w:pPr>
        <w:pStyle w:val="FirstParagraph"/>
      </w:pPr>
      <w:r>
        <w:t xml:space="preserve">When a term is defined on another page or in another site,</w:t>
      </w:r>
      <w:r>
        <w:t xml:space="preserve"> </w:t>
      </w:r>
      <w:r>
        <w:t xml:space="preserve">state the idea in the sentence and link the term.</w:t>
      </w:r>
      <w:r>
        <w:t xml:space="preserve"> </w:t>
      </w:r>
      <w:r>
        <w:t xml:space="preserve">Do not write about where the definition lives.</w:t>
      </w:r>
    </w:p>
    <w:p>
      <w:pPr>
        <w:pStyle w:val="Compact"/>
        <w:numPr>
          <w:ilvl w:val="0"/>
          <w:numId w:val="1016"/>
        </w:numPr>
      </w:pPr>
      <w:r>
        <w:t xml:space="preserve">Write</w:t>
      </w:r>
      <w:r>
        <w:t xml:space="preserve"> </w:t>
      </w:r>
      <w:r>
        <w:t xml:space="preserve">“the bias of an estimator”</w:t>
      </w:r>
      <w:r>
        <w:t xml:space="preserve">,</w:t>
      </w:r>
      <w:r>
        <w:t xml:space="preserve"> </w:t>
      </w:r>
      <w:r>
        <w:t xml:space="preserve">linked to its definition,</w:t>
      </w:r>
      <w:r>
        <w:t xml:space="preserve"> </w:t>
      </w:r>
      <w:r>
        <w:t xml:space="preserve">not</w:t>
      </w:r>
      <w:r>
        <w:t xml:space="preserve"> </w:t>
      </w:r>
      <w:r>
        <w:t xml:space="preserve">“the statistics notes define the bias of an estimator”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Do not write</w:t>
      </w:r>
      <w:r>
        <w:t xml:space="preserve"> </w:t>
      </w:r>
      <w:r>
        <w:t xml:space="preserve">“see the probability notes”</w:t>
      </w:r>
      <w:r>
        <w:t xml:space="preserve"> </w:t>
      </w:r>
      <w:r>
        <w:t xml:space="preserve">or</w:t>
      </w:r>
      <w:r>
        <w:t xml:space="preserve"> </w:t>
      </w:r>
      <w:r>
        <w:t xml:space="preserve">“as in our notes”</w:t>
      </w:r>
      <w:r>
        <w:t xml:space="preserve">.</w:t>
      </w:r>
      <w:r>
        <w:t xml:space="preserve"> </w:t>
      </w:r>
      <w:r>
        <w:t xml:space="preserve">The link already says where the term lives.</w:t>
      </w:r>
    </w:p>
    <w:p>
      <w:pPr>
        <w:pStyle w:val="Compact"/>
        <w:numPr>
          <w:ilvl w:val="0"/>
          <w:numId w:val="1016"/>
        </w:numPr>
      </w:pPr>
      <w:r>
        <w:t xml:space="preserve">Name a remark by the idea it holds,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“Bias of a prediction”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“Bias of a prediction in the statistics notes”</w:t>
      </w:r>
      <w:r>
        <w:t xml:space="preserve">.</w:t>
      </w:r>
    </w:p>
    <w:p>
      <w:pPr>
        <w:pStyle w:val="FirstParagraph"/>
      </w:pPr>
      <w:r>
        <w:t xml:space="preserve">Students read concepts, not the structure of the site.</w:t>
      </w:r>
      <w:r>
        <w:t xml:space="preserve"> </w:t>
      </w:r>
      <w:r>
        <w:t xml:space="preserve">A sentence about which notes define a term adds no content,</w:t>
      </w:r>
      <w:r>
        <w:t xml:space="preserve"> </w:t>
      </w:r>
      <w:r>
        <w:t xml:space="preserve">and it goes stale when the definition moves.</w:t>
      </w:r>
    </w:p>
    <w:bookmarkEnd w:id="55"/>
    <w:bookmarkStart w:id="59" w:name="Xcb579568ef754486ebde8b41ba4528bdf380eec"/>
    <w:p>
      <w:pPr>
        <w:pStyle w:val="Heading2"/>
      </w:pPr>
      <w:r>
        <w:t xml:space="preserve">20 Credit other courses without summarizing them</w:t>
      </w:r>
    </w:p>
    <w:p>
      <w:pPr>
        <w:pStyle w:val="Compact"/>
        <w:numPr>
          <w:ilvl w:val="0"/>
          <w:numId w:val="1017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56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17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57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7"/>
        </w:numPr>
      </w:pPr>
      <w:r>
        <w:t xml:space="preserve">Title a section by its topic, not by its author or course.</w:t>
      </w:r>
      <w:r>
        <w:t xml:space="preserve"> </w:t>
      </w:r>
      <w:hyperlink r:id="rId58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7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59"/>
    <w:bookmarkStart w:id="68" w:name="rules-that-apply-to-all-writing"/>
    <w:p>
      <w:pPr>
        <w:pStyle w:val="Heading2"/>
      </w:pPr>
      <w:r>
        <w:t xml:space="preserve">21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18"/>
        </w:numPr>
      </w:pPr>
      <w:hyperlink r:id="rId60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18"/>
        </w:numPr>
      </w:pPr>
      <w:hyperlink r:id="rId61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18"/>
        </w:numPr>
      </w:pPr>
      <w:hyperlink r:id="rId62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18"/>
        </w:numPr>
      </w:pPr>
      <w:hyperlink r:id="rId63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18"/>
        </w:numPr>
      </w:pPr>
      <w:hyperlink r:id="rId64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67" w:name="refs"/>
    <w:bookmarkStart w:id="66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65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66"/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64" Type="http://schemas.openxmlformats.org/officeDocument/2006/relationships/hyperlink" Target="avoid-cliches.qmd" TargetMode="External"/><Relationship Id="rId56" Type="http://schemas.openxmlformats.org/officeDocument/2006/relationships/hyperlink" Target="citations-evidence.qmd#adapting-another-courses-material" TargetMode="External"/><Relationship Id="rId58" Type="http://schemas.openxmlformats.org/officeDocument/2006/relationships/hyperlink" Target="citations-evidence.qmd#put-the-content-first" TargetMode="External"/><Relationship Id="rId57" Type="http://schemas.openxmlformats.org/officeDocument/2006/relationships/hyperlink" Target="citations-evidence.qmd#quote-the-original" TargetMode="External"/><Relationship Id="rId60" Type="http://schemas.openxmlformats.org/officeDocument/2006/relationships/hyperlink" Target="conciseness.qmd#lead-with-the-subject" TargetMode="External"/><Relationship Id="rId53" Type="http://schemas.openxmlformats.org/officeDocument/2006/relationships/hyperlink" Target="conciseness.qmd#put-lists-in-bullet-points" TargetMode="External"/><Relationship Id="rId18" Type="http://schemas.openxmlformats.org/officeDocument/2006/relationships/hyperlink" Target="defining-terms.qmd#guidelines-for-defining-terms" TargetMode="External"/><Relationship Id="rId61" Type="http://schemas.openxmlformats.org/officeDocument/2006/relationships/hyperlink" Target="grammar.qmd#demonstrative-pronouns" TargetMode="External"/><Relationship Id="rId41" Type="http://schemas.openxmlformats.org/officeDocument/2006/relationships/hyperlink" Target="https://cran.r-project.org/package=broom" TargetMode="External"/><Relationship Id="rId36" Type="http://schemas.openxmlformats.org/officeDocument/2006/relationships/hyperlink" Target="https://cran.r-project.org/package=gtsummary" TargetMode="External"/><Relationship Id="rId65" Type="http://schemas.openxmlformats.org/officeDocument/2006/relationships/hyperlink" Target="https://doi.org/10.1073/pnas.1319030111" TargetMode="External"/><Relationship Id="rId44" Type="http://schemas.openxmlformats.org/officeDocument/2006/relationships/hyperlink" Target="https://dplyr.tidyverse.org/" TargetMode="External"/><Relationship Id="rId35" Type="http://schemas.openxmlformats.org/officeDocument/2006/relationships/hyperlink" Target="https://easystats.github.io/parameters/" TargetMode="External"/><Relationship Id="rId40" Type="http://schemas.openxmlformats.org/officeDocument/2006/relationships/hyperlink" Target="https://easystats.github.io/performance/" TargetMode="External"/><Relationship Id="rId14" Type="http://schemas.openxmlformats.org/officeDocument/2006/relationships/hyperlink" Target="https://en.wikipedia.org/wiki/Modular_programming" TargetMode="External"/><Relationship Id="rId37" Type="http://schemas.openxmlformats.org/officeDocument/2006/relationships/hyperlink" Target="https://ggplot2.tidyverse.org/" TargetMode="External"/><Relationship Id="rId32" Type="http://schemas.openxmlformats.org/officeDocument/2006/relationships/hyperlink" Target="https://github.com/Morrison-Lab/ISLR-tidymodels-labs" TargetMode="External"/><Relationship Id="rId26" Type="http://schemas.openxmlformats.org/officeDocument/2006/relationships/hyperlink" Target="https://github.com/Morrison-Lab/ai-config/pull/4386" TargetMode="External"/><Relationship Id="rId42" Type="http://schemas.openxmlformats.org/officeDocument/2006/relationships/hyperlink" Target="https://github.com/d-morrison/rme" TargetMode="External"/><Relationship Id="rId33" Type="http://schemas.openxmlformats.org/officeDocument/2006/relationships/hyperlink" Target="https://github.com/intro-stat-learning/ISLP_labs" TargetMode="External"/><Relationship Id="rId48" Type="http://schemas.openxmlformats.org/officeDocument/2006/relationships/hyperlink" Target="https://github.com/quarto-ext/include-code-files" TargetMode="External"/><Relationship Id="rId39" Type="http://schemas.openxmlformats.org/officeDocument/2006/relationships/hyperlink" Target="https://strengejacke.github.io/ggeffects/" TargetMode="External"/><Relationship Id="rId38" Type="http://schemas.openxmlformats.org/officeDocument/2006/relationships/hyperlink" Target="https://strengejacke.github.io/sjPlot/" TargetMode="External"/><Relationship Id="rId46" Type="http://schemas.openxmlformats.org/officeDocument/2006/relationships/hyperlink" Target="https://tibble.tidyverse.org/" TargetMode="External"/><Relationship Id="rId45" Type="http://schemas.openxmlformats.org/officeDocument/2006/relationships/hyperlink" Target="https://tidyr.tidyverse.org/" TargetMode="External"/><Relationship Id="rId31" Type="http://schemas.openxmlformats.org/officeDocument/2006/relationships/hyperlink" Target="https://www.tidymodels.org/" TargetMode="External"/><Relationship Id="rId15" Type="http://schemas.openxmlformats.org/officeDocument/2006/relationships/hyperlink" Target="notation.qmd#making-expressions-concise" TargetMode="External"/><Relationship Id="rId27" Type="http://schemas.openxmlformats.org/officeDocument/2006/relationships/hyperlink" Target="paper-organization.qmd#figures-and-tables" TargetMode="External"/><Relationship Id="rId63" Type="http://schemas.openxmlformats.org/officeDocument/2006/relationships/hyperlink" Target="word-choice.qmd#avoid-vague-and-metaphorical-language" TargetMode="External"/><Relationship Id="rId62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64" Type="http://schemas.openxmlformats.org/officeDocument/2006/relationships/hyperlink" Target="avoid-cliches.qmd" TargetMode="External"/><Relationship Id="rId56" Type="http://schemas.openxmlformats.org/officeDocument/2006/relationships/hyperlink" Target="citations-evidence.qmd#adapting-another-courses-material" TargetMode="External"/><Relationship Id="rId58" Type="http://schemas.openxmlformats.org/officeDocument/2006/relationships/hyperlink" Target="citations-evidence.qmd#put-the-content-first" TargetMode="External"/><Relationship Id="rId57" Type="http://schemas.openxmlformats.org/officeDocument/2006/relationships/hyperlink" Target="citations-evidence.qmd#quote-the-original" TargetMode="External"/><Relationship Id="rId60" Type="http://schemas.openxmlformats.org/officeDocument/2006/relationships/hyperlink" Target="conciseness.qmd#lead-with-the-subject" TargetMode="External"/><Relationship Id="rId53" Type="http://schemas.openxmlformats.org/officeDocument/2006/relationships/hyperlink" Target="conciseness.qmd#put-lists-in-bullet-points" TargetMode="External"/><Relationship Id="rId18" Type="http://schemas.openxmlformats.org/officeDocument/2006/relationships/hyperlink" Target="defining-terms.qmd#guidelines-for-defining-terms" TargetMode="External"/><Relationship Id="rId61" Type="http://schemas.openxmlformats.org/officeDocument/2006/relationships/hyperlink" Target="grammar.qmd#demonstrative-pronouns" TargetMode="External"/><Relationship Id="rId41" Type="http://schemas.openxmlformats.org/officeDocument/2006/relationships/hyperlink" Target="https://cran.r-project.org/package=broom" TargetMode="External"/><Relationship Id="rId36" Type="http://schemas.openxmlformats.org/officeDocument/2006/relationships/hyperlink" Target="https://cran.r-project.org/package=gtsummary" TargetMode="External"/><Relationship Id="rId65" Type="http://schemas.openxmlformats.org/officeDocument/2006/relationships/hyperlink" Target="https://doi.org/10.1073/pnas.1319030111" TargetMode="External"/><Relationship Id="rId44" Type="http://schemas.openxmlformats.org/officeDocument/2006/relationships/hyperlink" Target="https://dplyr.tidyverse.org/" TargetMode="External"/><Relationship Id="rId35" Type="http://schemas.openxmlformats.org/officeDocument/2006/relationships/hyperlink" Target="https://easystats.github.io/parameters/" TargetMode="External"/><Relationship Id="rId40" Type="http://schemas.openxmlformats.org/officeDocument/2006/relationships/hyperlink" Target="https://easystats.github.io/performance/" TargetMode="External"/><Relationship Id="rId14" Type="http://schemas.openxmlformats.org/officeDocument/2006/relationships/hyperlink" Target="https://en.wikipedia.org/wiki/Modular_programming" TargetMode="External"/><Relationship Id="rId37" Type="http://schemas.openxmlformats.org/officeDocument/2006/relationships/hyperlink" Target="https://ggplot2.tidyverse.org/" TargetMode="External"/><Relationship Id="rId32" Type="http://schemas.openxmlformats.org/officeDocument/2006/relationships/hyperlink" Target="https://github.com/Morrison-Lab/ISLR-tidymodels-labs" TargetMode="External"/><Relationship Id="rId26" Type="http://schemas.openxmlformats.org/officeDocument/2006/relationships/hyperlink" Target="https://github.com/Morrison-Lab/ai-config/pull/4386" TargetMode="External"/><Relationship Id="rId42" Type="http://schemas.openxmlformats.org/officeDocument/2006/relationships/hyperlink" Target="https://github.com/d-morrison/rme" TargetMode="External"/><Relationship Id="rId33" Type="http://schemas.openxmlformats.org/officeDocument/2006/relationships/hyperlink" Target="https://github.com/intro-stat-learning/ISLP_labs" TargetMode="External"/><Relationship Id="rId48" Type="http://schemas.openxmlformats.org/officeDocument/2006/relationships/hyperlink" Target="https://github.com/quarto-ext/include-code-files" TargetMode="External"/><Relationship Id="rId39" Type="http://schemas.openxmlformats.org/officeDocument/2006/relationships/hyperlink" Target="https://strengejacke.github.io/ggeffects/" TargetMode="External"/><Relationship Id="rId38" Type="http://schemas.openxmlformats.org/officeDocument/2006/relationships/hyperlink" Target="https://strengejacke.github.io/sjPlot/" TargetMode="External"/><Relationship Id="rId46" Type="http://schemas.openxmlformats.org/officeDocument/2006/relationships/hyperlink" Target="https://tibble.tidyverse.org/" TargetMode="External"/><Relationship Id="rId45" Type="http://schemas.openxmlformats.org/officeDocument/2006/relationships/hyperlink" Target="https://tidyr.tidyverse.org/" TargetMode="External"/><Relationship Id="rId31" Type="http://schemas.openxmlformats.org/officeDocument/2006/relationships/hyperlink" Target="https://www.tidymodels.org/" TargetMode="External"/><Relationship Id="rId15" Type="http://schemas.openxmlformats.org/officeDocument/2006/relationships/hyperlink" Target="notation.qmd#making-expressions-concise" TargetMode="External"/><Relationship Id="rId27" Type="http://schemas.openxmlformats.org/officeDocument/2006/relationships/hyperlink" Target="paper-organization.qmd#figures-and-tables" TargetMode="External"/><Relationship Id="rId63" Type="http://schemas.openxmlformats.org/officeDocument/2006/relationships/hyperlink" Target="word-choice.qmd#avoid-vague-and-metaphorical-language" TargetMode="External"/><Relationship Id="rId62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2026-10-16T17:31:06Z</dcterms:created>
  <dcterms:modified xsi:type="dcterms:W3CDTF">2026-10-16T17:31:06Z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10:26:16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